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DA" w:rsidRDefault="002174B2">
      <w:pPr>
        <w:spacing w:line="338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1</w:t>
      </w:r>
    </w:p>
    <w:p w:rsidR="006614DA" w:rsidRDefault="002174B2">
      <w:pPr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微课评审标准</w:t>
      </w:r>
    </w:p>
    <w:tbl>
      <w:tblPr>
        <w:tblStyle w:val="a3"/>
        <w:tblpPr w:leftFromText="180" w:rightFromText="180" w:vertAnchor="text" w:horzAnchor="page" w:tblpXSpec="center" w:tblpY="474"/>
        <w:tblOverlap w:val="never"/>
        <w:tblW w:w="8472" w:type="dxa"/>
        <w:tblInd w:w="0" w:type="dxa"/>
        <w:tblLook w:val="04A0"/>
      </w:tblPr>
      <w:tblGrid>
        <w:gridCol w:w="1319"/>
        <w:gridCol w:w="1321"/>
        <w:gridCol w:w="5832"/>
      </w:tblGrid>
      <w:tr w:rsidR="006614DA">
        <w:trPr>
          <w:trHeight w:val="537"/>
        </w:trPr>
        <w:tc>
          <w:tcPr>
            <w:tcW w:w="1319" w:type="dxa"/>
            <w:vAlign w:val="center"/>
          </w:tcPr>
          <w:p w:rsidR="006614DA" w:rsidRDefault="002174B2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center"/>
              <w:rPr>
                <w:rFonts w:ascii="宋体" w:eastAsia="宋体" w:hAnsi="宋体" w:cs="微软雅黑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kern w:val="0"/>
                <w:sz w:val="24"/>
              </w:rPr>
              <w:t>指标说明</w:t>
            </w:r>
          </w:p>
        </w:tc>
      </w:tr>
      <w:tr w:rsidR="006614DA">
        <w:trPr>
          <w:trHeight w:val="1048"/>
        </w:trPr>
        <w:tc>
          <w:tcPr>
            <w:tcW w:w="1319" w:type="dxa"/>
            <w:vMerge w:val="restart"/>
            <w:vAlign w:val="center"/>
          </w:tcPr>
          <w:p w:rsidR="006614DA" w:rsidRDefault="006614D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选题价值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选题简明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针对教学环节中某一知识点、例题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习题、实验活动等作为选题，类型包括但不限于：教授类、解题类、答疑类、实验类、活动类。尽量做到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“小而精”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。</w:t>
            </w:r>
          </w:p>
        </w:tc>
      </w:tr>
      <w:tr w:rsidR="006614DA" w:rsidTr="006445AD">
        <w:trPr>
          <w:trHeight w:val="839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重点突出</w:t>
            </w:r>
          </w:p>
          <w:p w:rsidR="006614DA" w:rsidRDefault="002174B2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设计的教学内容紧贴微课主题，重点突出，不跑题。</w:t>
            </w:r>
          </w:p>
        </w:tc>
      </w:tr>
      <w:tr w:rsidR="006614DA">
        <w:trPr>
          <w:trHeight w:val="692"/>
        </w:trPr>
        <w:tc>
          <w:tcPr>
            <w:tcW w:w="1319" w:type="dxa"/>
            <w:vMerge w:val="restart"/>
            <w:vAlign w:val="center"/>
          </w:tcPr>
          <w:p w:rsidR="006614DA" w:rsidRDefault="006614D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6614DA" w:rsidRDefault="006614D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教学内容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内容科学</w:t>
            </w:r>
          </w:p>
          <w:p w:rsidR="006614DA" w:rsidRDefault="002174B2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内容严谨充实，课件和讲解均无科学性、政策性的错误。</w:t>
            </w:r>
          </w:p>
        </w:tc>
      </w:tr>
      <w:tr w:rsidR="006614DA">
        <w:trPr>
          <w:trHeight w:val="677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逻辑清晰（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教学过程主线清晰、逻辑性强，明了易懂。</w:t>
            </w:r>
          </w:p>
        </w:tc>
      </w:tr>
      <w:tr w:rsidR="006614DA">
        <w:trPr>
          <w:trHeight w:val="806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目标达成（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 w:rsidR="006614DA">
        <w:trPr>
          <w:trHeight w:val="801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教学特色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6614DA">
        <w:trPr>
          <w:trHeight w:val="1429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创意新颖（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构思新颖，教学方法富有创意，不拘泥于传统的课堂教学模式，类型包括但不限于：教授类、解题类、答疑类、实验类、活动类、其他类；录制方法与工具可以自由组合，如用手写板、电子白板、黑板、白纸、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Pad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、录屏软件、手机、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DV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摄像机、数码相机等制作。</w:t>
            </w:r>
          </w:p>
        </w:tc>
      </w:tr>
      <w:tr w:rsidR="006614DA">
        <w:trPr>
          <w:trHeight w:val="641"/>
        </w:trPr>
        <w:tc>
          <w:tcPr>
            <w:tcW w:w="1319" w:type="dxa"/>
            <w:vMerge w:val="restart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作品规范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结构完整（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具有独立性和完整性，包含微课视频、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教学方案设计和课件等。</w:t>
            </w:r>
          </w:p>
        </w:tc>
      </w:tr>
      <w:tr w:rsidR="006614DA">
        <w:trPr>
          <w:trHeight w:val="751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教师风采（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普通话标准，声音清晰。如教师出镜，则需仪表得且自然，能展现良好的教学风貌和个人魅力。</w:t>
            </w:r>
          </w:p>
        </w:tc>
      </w:tr>
      <w:tr w:rsidR="006614DA">
        <w:trPr>
          <w:trHeight w:val="1023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技术要求（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时长一般不超过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视频图像清晰稳定；</w:t>
            </w:r>
          </w:p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视频片头应显示标题、作者、单位；</w:t>
            </w:r>
          </w:p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保证外部环境安静无噪音。</w:t>
            </w:r>
          </w:p>
        </w:tc>
      </w:tr>
      <w:tr w:rsidR="006614DA">
        <w:trPr>
          <w:trHeight w:val="1048"/>
        </w:trPr>
        <w:tc>
          <w:tcPr>
            <w:tcW w:w="1319" w:type="dxa"/>
            <w:vMerge/>
            <w:vAlign w:val="center"/>
          </w:tcPr>
          <w:p w:rsidR="006614DA" w:rsidRDefault="006614DA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审美要求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使用的文字尽量少，主要教学环节有字幕提示；</w:t>
            </w:r>
          </w:p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配色美观、图文并茂；</w:t>
            </w:r>
          </w:p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字号适中，颜色突出，符合正常的预览习惯。</w:t>
            </w:r>
          </w:p>
        </w:tc>
      </w:tr>
      <w:tr w:rsidR="006614DA">
        <w:trPr>
          <w:trHeight w:val="1155"/>
        </w:trPr>
        <w:tc>
          <w:tcPr>
            <w:tcW w:w="1319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网络评价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分）</w:t>
            </w:r>
          </w:p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【附加分】</w:t>
            </w:r>
          </w:p>
        </w:tc>
        <w:tc>
          <w:tcPr>
            <w:tcW w:w="1321" w:type="dxa"/>
            <w:vAlign w:val="center"/>
          </w:tcPr>
          <w:p w:rsidR="006614DA" w:rsidRDefault="002174B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网上评审（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分）</w:t>
            </w:r>
          </w:p>
        </w:tc>
        <w:tc>
          <w:tcPr>
            <w:tcW w:w="5832" w:type="dxa"/>
            <w:vAlign w:val="center"/>
          </w:tcPr>
          <w:p w:rsidR="006614DA" w:rsidRDefault="002174B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参赛作品发布后受欢迎程度，点击率高、人气旺，用户评价好，作者能积极与用户互动。根据线上的点击量、投票数量、收藏数量、分享数量、讨论热度等综合评价。</w:t>
            </w:r>
          </w:p>
        </w:tc>
      </w:tr>
    </w:tbl>
    <w:p w:rsidR="006614DA" w:rsidRDefault="006614DA">
      <w:bookmarkStart w:id="0" w:name="_GoBack"/>
      <w:bookmarkEnd w:id="0"/>
    </w:p>
    <w:sectPr w:rsidR="006614DA" w:rsidSect="0066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B2" w:rsidRDefault="002174B2" w:rsidP="006445AD">
      <w:pPr>
        <w:spacing w:after="0" w:line="240" w:lineRule="auto"/>
      </w:pPr>
      <w:r>
        <w:separator/>
      </w:r>
    </w:p>
  </w:endnote>
  <w:endnote w:type="continuationSeparator" w:id="1">
    <w:p w:rsidR="002174B2" w:rsidRDefault="002174B2" w:rsidP="0064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B2" w:rsidRDefault="002174B2" w:rsidP="006445AD">
      <w:pPr>
        <w:spacing w:after="0" w:line="240" w:lineRule="auto"/>
      </w:pPr>
      <w:r>
        <w:separator/>
      </w:r>
    </w:p>
  </w:footnote>
  <w:footnote w:type="continuationSeparator" w:id="1">
    <w:p w:rsidR="002174B2" w:rsidRDefault="002174B2" w:rsidP="0064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2E09DE"/>
    <w:rsid w:val="002174B2"/>
    <w:rsid w:val="006445AD"/>
    <w:rsid w:val="006614DA"/>
    <w:rsid w:val="562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4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66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rsid w:val="006445A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link w:val="Char0"/>
    <w:rsid w:val="0064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rsid w:val="006445A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Enhuolania</dc:creator>
  <cp:lastModifiedBy>YU GUICAI</cp:lastModifiedBy>
  <cp:revision>2</cp:revision>
  <dcterms:created xsi:type="dcterms:W3CDTF">2020-07-09T09:04:00Z</dcterms:created>
  <dcterms:modified xsi:type="dcterms:W3CDTF">2020-07-18T04:05:00Z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