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C1" w:rsidRDefault="005234C1" w:rsidP="005234C1">
      <w:pPr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</w:p>
    <w:tbl>
      <w:tblPr>
        <w:tblW w:w="99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6225"/>
        <w:gridCol w:w="1605"/>
        <w:gridCol w:w="1260"/>
      </w:tblGrid>
      <w:tr w:rsidR="005234C1" w:rsidTr="005234C1">
        <w:trPr>
          <w:trHeight w:val="480"/>
          <w:jc w:val="center"/>
        </w:trPr>
        <w:tc>
          <w:tcPr>
            <w:tcW w:w="99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6"/>
                <w:szCs w:val="36"/>
              </w:rPr>
              <w:t>宜春学院第十二届教学成果奖获奖名单</w:t>
            </w:r>
          </w:p>
        </w:tc>
      </w:tr>
      <w:tr w:rsidR="005234C1" w:rsidTr="005234C1">
        <w:trPr>
          <w:trHeight w:val="73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成  果  名  称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成果负责人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评定等级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9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高等教育类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两扎根•三联动•四融合•五聚力：打造地方高校产教融合育人体系的江西样板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蔡海生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红色叙事 创意表达 价值共生：新文科背景下“创-播-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-用”体系的育人实践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对接产业·联合企业·改造专业：锂电新能源产业学院育人模式创新实践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刘健平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树情怀·厚基础·强能力：卓越农牧人才“四融五共六联动”培养模式创新实践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犇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价值引领·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教融合·多元协同：美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类专业医学美育教学体系的构建与实践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周金娟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智能+时代“四融三共”IT人才培养的创新与实践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臧爱彬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赛创融合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·产教协同·虚实结合：制药类专业工程实践能力培养体系的构建与实践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刘紫英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一驱二融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·三阶四维：运动生理学课程18年教学改革探索与实践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屈红林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项目驱动-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艺创融合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-服务地方:地方高校美术与设计专业“三位一体”的育人路径与实践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杨礼浪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服务国家战略适应地方需求“校政企”协同培养数字应用型人才创新实践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胡红武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一体双翼·多元协同·闭环驱动：地方本科院校英语师范人才培养的创新实践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高芸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三能递进•四阶打造•五项衔接：应用型财务人才培养模式二十五年探索与实践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喻均林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艺文双修·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学教齐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驱·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展赛并进·游学广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才：书法学专业人才培养模式创新实践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刘玉珏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破解就业难题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聚焦职场痛点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环境科学应用型人才培养模式探索与实践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姜成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实践赋能，学演融合：舞蹈学专业“体系-平台-路径”人才培养模式构建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丁庆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产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教筑基·金课塑能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·素养铸魂：动物科学新农科人才培养模式的探索与实践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武建中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新医科引领·双螺旋驱动：地方院校临床医学卓越人才培养协同范式的创新与实践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张飞凤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Style w:val="16"/>
                <w:rFonts w:hint="default"/>
              </w:rPr>
              <w:t>创新工坊为载体：软件工程专业“赛产融合</w:t>
            </w:r>
            <w:r>
              <w:rPr>
                <w:rStyle w:val="15"/>
                <w:rFonts w:hint="default"/>
              </w:rPr>
              <w:t>・</w:t>
            </w:r>
            <w:r>
              <w:rPr>
                <w:rStyle w:val="16"/>
                <w:rFonts w:hint="default"/>
              </w:rPr>
              <w:t>三位一体”育人模式构建与实践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黄伟凡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地方应用型高校法治人才培养“双色三联四维五创”模式的探索与实践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罗许生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产教融合，项目驱动，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赛教结合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：电子信息类专业实践教学体系的构建与实践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文汝红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“新医科”视域下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美护理跨学科复合性人才培养的探索与实践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雷波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学段协同、模块联动、红村共育——地方高校大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思政实践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育人模式的构建与实践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李昭亮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基于需求导向、链接产业、产教融合的《锂电原理及技术》课程的建设与实践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张兆刚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“真项目、硬竞赛、强智造”：应用型大学智能制造创新人才培养的攻坚实践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钱晓山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9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基础教育类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红色引领·AI赋能·学科聚力：高师全方位助力小学课后服务创新实践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特等奖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启智铸魂·育生成己：地方高校—县域小学协同的科技教育生态构建与实施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张文彬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5234C1" w:rsidTr="005234C1">
        <w:trPr>
          <w:trHeight w:val="76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创意驱动·文化强基·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数智赋能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：中文师范生培养与县域语文教育协同提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质探索</w:t>
            </w:r>
            <w:proofErr w:type="gramEnd"/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高建青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4C1" w:rsidRDefault="00523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</w:tbl>
    <w:p w:rsidR="005234C1" w:rsidRDefault="005234C1" w:rsidP="005234C1">
      <w:pPr>
        <w:spacing w:line="600" w:lineRule="exact"/>
        <w:ind w:firstLineChars="150" w:firstLine="420"/>
        <w:rPr>
          <w:rFonts w:ascii="宋体" w:hAnsi="宋体" w:hint="eastAsia"/>
          <w:b/>
          <w:bCs/>
          <w:sz w:val="44"/>
          <w:szCs w:val="44"/>
        </w:rPr>
      </w:pP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</w:t>
      </w:r>
    </w:p>
    <w:p w:rsidR="00D44F6C" w:rsidRDefault="00D44F6C">
      <w:bookmarkStart w:id="0" w:name="_GoBack"/>
      <w:bookmarkEnd w:id="0"/>
    </w:p>
    <w:sectPr w:rsidR="00D44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C1"/>
    <w:rsid w:val="005234C1"/>
    <w:rsid w:val="00D4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C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5234C1"/>
    <w:rPr>
      <w:rFonts w:ascii="MS Gothic" w:eastAsia="MS Gothic" w:hAnsi="MS Gothic" w:hint="eastAsia"/>
      <w:color w:val="000000"/>
      <w:sz w:val="24"/>
      <w:szCs w:val="24"/>
    </w:rPr>
  </w:style>
  <w:style w:type="character" w:customStyle="1" w:styleId="16">
    <w:name w:val="16"/>
    <w:basedOn w:val="a0"/>
    <w:rsid w:val="005234C1"/>
    <w:rPr>
      <w:rFonts w:ascii="宋体" w:eastAsia="宋体" w:hAnsi="宋体" w:hint="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C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5234C1"/>
    <w:rPr>
      <w:rFonts w:ascii="MS Gothic" w:eastAsia="MS Gothic" w:hAnsi="MS Gothic" w:hint="eastAsia"/>
      <w:color w:val="000000"/>
      <w:sz w:val="24"/>
      <w:szCs w:val="24"/>
    </w:rPr>
  </w:style>
  <w:style w:type="character" w:customStyle="1" w:styleId="16">
    <w:name w:val="16"/>
    <w:basedOn w:val="a0"/>
    <w:rsid w:val="005234C1"/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2026-01-28T01:54:00Z</dcterms:created>
  <dcterms:modified xsi:type="dcterms:W3CDTF">2026-01-28T01:55:00Z</dcterms:modified>
</cp:coreProperties>
</file>