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color w:val="333333"/>
          <w:spacing w:val="8"/>
          <w:kern w:val="0"/>
          <w:sz w:val="30"/>
          <w:szCs w:val="30"/>
          <w:lang w:val="en-US" w:eastAsia="zh-CN"/>
        </w:rPr>
      </w:pPr>
      <w:r>
        <w:rPr>
          <w:rFonts w:hint="eastAsia" w:ascii="仿宋" w:hAnsi="仿宋" w:eastAsia="仿宋" w:cs="仿宋"/>
          <w:b/>
          <w:color w:val="333333"/>
          <w:spacing w:val="8"/>
          <w:kern w:val="0"/>
          <w:sz w:val="30"/>
          <w:szCs w:val="30"/>
          <w:lang w:eastAsia="zh-CN"/>
        </w:rPr>
        <w:t>附件</w:t>
      </w:r>
      <w:r>
        <w:rPr>
          <w:rFonts w:hint="eastAsia" w:ascii="仿宋" w:hAnsi="仿宋" w:eastAsia="仿宋" w:cs="仿宋"/>
          <w:b/>
          <w:color w:val="333333"/>
          <w:spacing w:val="8"/>
          <w:kern w:val="0"/>
          <w:sz w:val="30"/>
          <w:szCs w:val="30"/>
          <w:lang w:val="en-US" w:eastAsia="zh-CN"/>
        </w:rPr>
        <w:t>1：</w:t>
      </w:r>
      <w:r>
        <w:rPr>
          <w:rFonts w:hint="eastAsia" w:ascii="仿宋" w:hAnsi="仿宋" w:eastAsia="仿宋" w:cs="仿宋"/>
          <w:b/>
          <w:color w:val="333333"/>
          <w:spacing w:val="8"/>
          <w:kern w:val="0"/>
          <w:sz w:val="30"/>
          <w:szCs w:val="30"/>
        </w:rPr>
        <w:t>2014-2018年全国普通高校学科竞赛评估结果</w:t>
      </w:r>
    </w:p>
    <w:p>
      <w:pPr>
        <w:ind w:firstLine="592" w:firstLineChars="200"/>
        <w:rPr>
          <w:rFonts w:ascii="仿宋_GB2312" w:hAnsi="微软雅黑" w:eastAsia="仿宋_GB2312"/>
          <w:color w:val="333333"/>
          <w:spacing w:val="8"/>
          <w:sz w:val="28"/>
          <w:szCs w:val="28"/>
          <w:shd w:val="clear" w:color="auto" w:fill="FFFFFF"/>
        </w:rPr>
      </w:pPr>
      <w:r>
        <w:rPr>
          <w:rFonts w:hint="eastAsia" w:ascii="仿宋_GB2312" w:hAnsi="微软雅黑" w:eastAsia="仿宋_GB2312"/>
          <w:color w:val="333333"/>
          <w:spacing w:val="8"/>
          <w:sz w:val="28"/>
          <w:szCs w:val="28"/>
          <w:shd w:val="clear" w:color="auto" w:fill="FFFFFF"/>
        </w:rPr>
        <w:t>2019年2月22日，中国高等教育学会在杭州正式发布2014-2018年中国高校创新人才培养暨学科竞赛评估结果。中国高等教育学会工程教育专业委员会秘书长、浙江大学机器人研究院常务副院长、浙江省余姚市副市长陆国栋教授代表中国高等教育学会《高校竞赛评估与管理体系研究》专家工作组介绍“2014-2018年中国高校创新人才培养暨学科竞赛评估结果”概况。本次共发布12个高校学科竞赛评估结果榜单。</w:t>
      </w:r>
    </w:p>
    <w:p>
      <w:pPr>
        <w:pStyle w:val="2"/>
        <w:shd w:val="clear" w:color="auto" w:fill="FFFFFF"/>
        <w:spacing w:before="0" w:beforeAutospacing="0" w:after="0" w:afterAutospacing="0" w:line="480" w:lineRule="atLeast"/>
        <w:jc w:val="both"/>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xml:space="preserve">    </w:t>
      </w:r>
      <w:r>
        <w:rPr>
          <w:rFonts w:hint="eastAsia" w:ascii="仿宋_GB2312" w:hAnsi="微软雅黑" w:eastAsia="仿宋_GB2312"/>
          <w:color w:val="333333"/>
          <w:spacing w:val="8"/>
          <w:sz w:val="28"/>
          <w:szCs w:val="28"/>
          <w:lang w:eastAsia="zh-CN"/>
        </w:rPr>
        <w:t>《</w:t>
      </w:r>
      <w:bookmarkStart w:id="0" w:name="_GoBack"/>
      <w:bookmarkEnd w:id="0"/>
      <w:r>
        <w:rPr>
          <w:rFonts w:hint="eastAsia" w:ascii="仿宋_GB2312" w:hAnsi="微软雅黑" w:eastAsia="仿宋_GB2312"/>
          <w:color w:val="333333"/>
          <w:spacing w:val="8"/>
          <w:sz w:val="28"/>
          <w:szCs w:val="28"/>
        </w:rPr>
        <w:t>高校竞赛评估与管理体系研究》专家工作组由高等教育学会副会长、秘书长康凯任领导小组组长，中国高等教育学会副秘书长王小梅和浙江大学党委副书记朱世强教授任专家工作组组长，浙江大学机器人研究院常务副院长陆国栋教授，中国高等教育学会事业发展部吴英策主任任副组长，浙江大学、杭州电子科技大学、中国计量大学、西南交通大学、浙江大学城市学院、杭州简学科技有限公司相关领域研究专家组成。下设“高校竞赛评价体系研究与发布”“高校竞赛评估模型构建与研究”“学科竞赛数据收集分析与优化”“学科竞赛排行榜平台架构与研发”4个子项目。</w:t>
      </w:r>
    </w:p>
    <w:p>
      <w:pPr>
        <w:pStyle w:val="2"/>
        <w:shd w:val="clear" w:color="auto" w:fill="FFFFFF"/>
        <w:spacing w:before="0" w:beforeAutospacing="0" w:after="0" w:afterAutospacing="0" w:line="480" w:lineRule="atLeast"/>
        <w:jc w:val="both"/>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 xml:space="preserve">    自2017年12月14日，由中国高等教育学会“高校竞赛评估与管理体系”专家工作组在杭州发布2012-2016年我国普通高校学科竞赛评估结果以来，我国高校竞赛第三方评估拉开序幕。2018年2月2日，中国高等教育学会在北京继续发布2013-2017年普通高校学科竞赛评估结果，同年4月在武汉发布我国首部《全国大学生竞赛白皮书（2012-2017）》，同时在2018年组织了系列研讨会，大学生竞赛评价进入公众和专家视野，并引起关注。</w:t>
      </w:r>
    </w:p>
    <w:p>
      <w:pPr>
        <w:pStyle w:val="2"/>
        <w:shd w:val="clear" w:color="auto" w:fill="FFFFFF"/>
        <w:spacing w:before="0" w:beforeAutospacing="0" w:after="0" w:afterAutospacing="0" w:line="480" w:lineRule="atLeast"/>
        <w:jc w:val="both"/>
        <w:rPr>
          <w:rFonts w:ascii="仿宋_GB2312" w:hAnsi="微软雅黑" w:eastAsia="仿宋_GB2312"/>
          <w:color w:val="333333"/>
          <w:spacing w:val="8"/>
          <w:sz w:val="28"/>
          <w:szCs w:val="28"/>
        </w:rPr>
      </w:pPr>
      <w:r>
        <w:rPr>
          <w:rFonts w:hint="eastAsia" w:ascii="仿宋_GB2312" w:hAnsi="微软雅黑" w:eastAsia="仿宋_GB2312"/>
          <w:color w:val="333333"/>
          <w:spacing w:val="8"/>
          <w:sz w:val="28"/>
          <w:szCs w:val="28"/>
        </w:rPr>
        <w:t>值得关注的是，2014-2018年我国普通高校学科竞赛排行榜的竞赛项目进行了扩容，新增15项竞赛纳入2014-2018年高校竞赛评估排行榜，其中本科类竞赛12项，高职类竞赛3项。本轮列入排行榜的竞赛项目从原来的“18+1”项扩容为“30+4” 项。</w:t>
      </w:r>
    </w:p>
    <w:tbl>
      <w:tblPr>
        <w:tblStyle w:val="4"/>
        <w:tblW w:w="872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437"/>
        <w:gridCol w:w="4668"/>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550" w:type="dxa"/>
            <w:textDirection w:val="tbRlV"/>
            <w:vAlign w:val="center"/>
          </w:tcPr>
          <w:p>
            <w:pPr>
              <w:ind w:left="113" w:right="113"/>
              <w:jc w:val="center"/>
              <w:rPr>
                <w:rFonts w:hint="eastAsia" w:ascii="黑体" w:hAnsi="黑体" w:eastAsia="黑体" w:cs="黑体"/>
                <w:b/>
                <w:bCs w:val="0"/>
                <w:color w:val="333333"/>
                <w:spacing w:val="8"/>
                <w:kern w:val="0"/>
                <w:sz w:val="28"/>
                <w:szCs w:val="28"/>
                <w:vertAlign w:val="baseline"/>
                <w:lang w:val="en-US" w:eastAsia="zh-CN"/>
              </w:rPr>
            </w:pPr>
            <w:r>
              <w:rPr>
                <w:rFonts w:hint="eastAsia" w:ascii="黑体" w:hAnsi="黑体" w:eastAsia="黑体" w:cs="黑体"/>
                <w:b/>
                <w:bCs w:val="0"/>
                <w:color w:val="333333"/>
                <w:spacing w:val="8"/>
                <w:kern w:val="0"/>
                <w:sz w:val="28"/>
                <w:szCs w:val="28"/>
                <w:vertAlign w:val="baseline"/>
                <w:lang w:val="en-US" w:eastAsia="zh-CN"/>
              </w:rPr>
              <w:t>序号</w:t>
            </w:r>
          </w:p>
        </w:tc>
        <w:tc>
          <w:tcPr>
            <w:tcW w:w="1437" w:type="dxa"/>
            <w:vAlign w:val="center"/>
          </w:tcPr>
          <w:p>
            <w:pPr>
              <w:jc w:val="center"/>
              <w:rPr>
                <w:rFonts w:hint="eastAsia" w:ascii="黑体" w:hAnsi="黑体" w:eastAsia="黑体" w:cs="黑体"/>
                <w:b/>
                <w:bCs w:val="0"/>
                <w:color w:val="333333"/>
                <w:spacing w:val="8"/>
                <w:kern w:val="0"/>
                <w:sz w:val="28"/>
                <w:szCs w:val="28"/>
                <w:vertAlign w:val="baseline"/>
                <w:lang w:val="en-US" w:eastAsia="zh-CN"/>
              </w:rPr>
            </w:pPr>
            <w:r>
              <w:rPr>
                <w:rFonts w:hint="eastAsia" w:ascii="黑体" w:hAnsi="黑体" w:eastAsia="黑体" w:cs="黑体"/>
                <w:b/>
                <w:bCs w:val="0"/>
                <w:color w:val="333333"/>
                <w:spacing w:val="8"/>
                <w:kern w:val="0"/>
                <w:sz w:val="28"/>
                <w:szCs w:val="28"/>
                <w:vertAlign w:val="baseline"/>
                <w:lang w:val="en-US" w:eastAsia="zh-CN"/>
              </w:rPr>
              <w:t>列入时间</w:t>
            </w:r>
          </w:p>
        </w:tc>
        <w:tc>
          <w:tcPr>
            <w:tcW w:w="4668" w:type="dxa"/>
            <w:vAlign w:val="center"/>
          </w:tcPr>
          <w:p>
            <w:pPr>
              <w:jc w:val="center"/>
              <w:rPr>
                <w:rFonts w:hint="eastAsia" w:ascii="黑体" w:hAnsi="黑体" w:eastAsia="黑体" w:cs="黑体"/>
                <w:b/>
                <w:bCs w:val="0"/>
                <w:color w:val="333333"/>
                <w:spacing w:val="8"/>
                <w:kern w:val="0"/>
                <w:sz w:val="28"/>
                <w:szCs w:val="28"/>
                <w:vertAlign w:val="baseline"/>
                <w:lang w:val="en-US" w:eastAsia="zh-CN"/>
              </w:rPr>
            </w:pPr>
            <w:r>
              <w:rPr>
                <w:rFonts w:hint="eastAsia" w:ascii="黑体" w:hAnsi="黑体" w:eastAsia="黑体" w:cs="黑体"/>
                <w:b/>
                <w:bCs w:val="0"/>
                <w:color w:val="333333"/>
                <w:spacing w:val="8"/>
                <w:kern w:val="0"/>
                <w:sz w:val="28"/>
                <w:szCs w:val="28"/>
                <w:vertAlign w:val="baseline"/>
                <w:lang w:val="en-US" w:eastAsia="zh-CN"/>
              </w:rPr>
              <w:t>竞赛名称</w:t>
            </w:r>
          </w:p>
        </w:tc>
        <w:tc>
          <w:tcPr>
            <w:tcW w:w="2073" w:type="dxa"/>
            <w:vAlign w:val="center"/>
          </w:tcPr>
          <w:p>
            <w:pPr>
              <w:jc w:val="center"/>
              <w:rPr>
                <w:rFonts w:hint="eastAsia" w:ascii="黑体" w:hAnsi="黑体" w:eastAsia="黑体" w:cs="黑体"/>
                <w:b/>
                <w:bCs w:val="0"/>
                <w:color w:val="333333"/>
                <w:spacing w:val="8"/>
                <w:kern w:val="0"/>
                <w:sz w:val="28"/>
                <w:szCs w:val="28"/>
                <w:vertAlign w:val="baseline"/>
                <w:lang w:val="en-US" w:eastAsia="zh-CN"/>
              </w:rPr>
            </w:pPr>
            <w:r>
              <w:rPr>
                <w:rFonts w:hint="eastAsia" w:ascii="黑体" w:hAnsi="黑体" w:eastAsia="黑体" w:cs="黑体"/>
                <w:b/>
                <w:bCs w:val="0"/>
                <w:color w:val="333333"/>
                <w:spacing w:val="8"/>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w:t>
            </w:r>
          </w:p>
        </w:tc>
        <w:tc>
          <w:tcPr>
            <w:tcW w:w="1437" w:type="dxa"/>
            <w:vMerge w:val="restart"/>
            <w:vAlign w:val="center"/>
          </w:tcPr>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2012-2016、2013-2017年排行榜列入</w:t>
            </w: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both"/>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p>
          <w:p>
            <w:pPr>
              <w:jc w:val="center"/>
              <w:rPr>
                <w:rFonts w:hint="eastAsia" w:ascii="宋体" w:hAnsi="宋体" w:eastAsia="宋体" w:cs="宋体"/>
                <w:b w:val="0"/>
                <w:bCs w:val="0"/>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2014-2018排行榜新增</w:t>
            </w: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中国“互联网+”大学生创新创业大赛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w:t>
            </w:r>
          </w:p>
        </w:tc>
        <w:tc>
          <w:tcPr>
            <w:tcW w:w="1437" w:type="dxa"/>
            <w:vMerge w:val="continue"/>
          </w:tcPr>
          <w:p>
            <w:pPr>
              <w:jc w:val="both"/>
              <w:rPr>
                <w:rFonts w:hint="default" w:ascii="仿宋" w:hAnsi="仿宋" w:eastAsia="仿宋" w:cs="仿宋"/>
                <w:b w:val="0"/>
                <w:bCs w:val="0"/>
                <w:color w:val="333333"/>
                <w:spacing w:val="8"/>
                <w:kern w:val="0"/>
                <w:sz w:val="24"/>
                <w:szCs w:val="24"/>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“挑战杯”全国大学生课外学术科技作品竞赛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w:t>
            </w:r>
          </w:p>
        </w:tc>
        <w:tc>
          <w:tcPr>
            <w:tcW w:w="1437" w:type="dxa"/>
            <w:vMerge w:val="continue"/>
          </w:tcPr>
          <w:p>
            <w:pPr>
              <w:jc w:val="both"/>
              <w:rPr>
                <w:rFonts w:hint="default" w:ascii="仿宋" w:hAnsi="仿宋" w:eastAsia="仿宋" w:cs="仿宋"/>
                <w:b w:val="0"/>
                <w:bCs w:val="0"/>
                <w:color w:val="333333"/>
                <w:spacing w:val="8"/>
                <w:kern w:val="0"/>
                <w:sz w:val="24"/>
                <w:szCs w:val="24"/>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“挑战杯”中国大学生创业计划大赛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4</w:t>
            </w:r>
          </w:p>
        </w:tc>
        <w:tc>
          <w:tcPr>
            <w:tcW w:w="1437" w:type="dxa"/>
            <w:vMerge w:val="continue"/>
          </w:tcPr>
          <w:p>
            <w:pPr>
              <w:jc w:val="both"/>
              <w:rPr>
                <w:rFonts w:hint="default" w:ascii="仿宋" w:hAnsi="仿宋" w:eastAsia="仿宋" w:cs="仿宋"/>
                <w:b w:val="0"/>
                <w:bCs w:val="0"/>
                <w:color w:val="333333"/>
                <w:spacing w:val="8"/>
                <w:kern w:val="0"/>
                <w:sz w:val="24"/>
                <w:szCs w:val="24"/>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ACM-ICPC国际大学生程序设计竞赛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5</w:t>
            </w:r>
          </w:p>
        </w:tc>
        <w:tc>
          <w:tcPr>
            <w:tcW w:w="1437" w:type="dxa"/>
            <w:vMerge w:val="continue"/>
          </w:tcPr>
          <w:p>
            <w:pPr>
              <w:jc w:val="both"/>
              <w:rPr>
                <w:rFonts w:hint="default" w:ascii="仿宋" w:hAnsi="仿宋" w:eastAsia="仿宋" w:cs="仿宋"/>
                <w:b w:val="0"/>
                <w:bCs w:val="0"/>
                <w:color w:val="333333"/>
                <w:spacing w:val="8"/>
                <w:kern w:val="0"/>
                <w:sz w:val="24"/>
                <w:szCs w:val="24"/>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全国大学生数学建模竞赛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6</w:t>
            </w:r>
          </w:p>
        </w:tc>
        <w:tc>
          <w:tcPr>
            <w:tcW w:w="1437" w:type="dxa"/>
            <w:vMerge w:val="continue"/>
          </w:tcPr>
          <w:p>
            <w:pPr>
              <w:jc w:val="both"/>
              <w:rPr>
                <w:rFonts w:hint="default" w:ascii="仿宋" w:hAnsi="仿宋" w:eastAsia="仿宋" w:cs="仿宋"/>
                <w:b w:val="0"/>
                <w:bCs w:val="0"/>
                <w:color w:val="333333"/>
                <w:spacing w:val="8"/>
                <w:kern w:val="0"/>
                <w:sz w:val="24"/>
                <w:szCs w:val="24"/>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全国大学生电子设计竞赛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7</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全国大学生化学实验邀请赛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8</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全国高等医学院校大学生临床技能竞赛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9</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全国大学生机械创新设计大赛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10</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全国大学生结构设计竞赛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11</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全国大学生广告艺术大赛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12</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全国大学生智能汽车竞赛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13</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全国大学生交通科技大赛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14</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全国大学生电子商务“创新、创意及创业”挑战赛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15</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全国大学生节能减排社会实践与科技竞赛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16</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全国大学生工程训练综合能力竞赛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17</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全国大学生物流设计大赛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18</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“外研社杯”全国英语演讲大赛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19</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全国职业院校技能大赛</w:t>
            </w:r>
          </w:p>
        </w:tc>
        <w:tc>
          <w:tcPr>
            <w:tcW w:w="2073" w:type="dxa"/>
            <w:vAlign w:val="center"/>
          </w:tcPr>
          <w:p>
            <w:pPr>
              <w:jc w:val="center"/>
              <w:rPr>
                <w:rFonts w:hint="default" w:ascii="仿宋" w:hAnsi="仿宋" w:eastAsia="仿宋" w:cs="仿宋"/>
                <w:b/>
                <w:color w:val="333333"/>
                <w:spacing w:val="8"/>
                <w:kern w:val="0"/>
                <w:sz w:val="24"/>
                <w:szCs w:val="24"/>
                <w:vertAlign w:val="baseline"/>
                <w:lang w:val="en-US" w:eastAsia="zh-CN"/>
              </w:rPr>
            </w:pPr>
            <w:r>
              <w:rPr>
                <w:rFonts w:hint="eastAsia" w:ascii="仿宋" w:hAnsi="仿宋" w:eastAsia="仿宋" w:cs="仿宋"/>
                <w:b/>
                <w:color w:val="333333"/>
                <w:spacing w:val="8"/>
                <w:kern w:val="0"/>
                <w:sz w:val="24"/>
                <w:szCs w:val="24"/>
                <w:vertAlign w:val="baseline"/>
                <w:lang w:val="en-US" w:eastAsia="zh-CN"/>
              </w:rPr>
              <w:t>只纳入高职排行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20</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全国大学生创新创业训练计划年会展示</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21</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全国大学生机器人大赛RoboMaster</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22</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“西门子杯”中国智能制造挑战赛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23</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全国大学生化工设计竞赛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24</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全国大学生先进成图技术与产品信息建模创新大赛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25</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全国三维数字化创新设计大赛（大学生组）</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26</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中国大学生计算机设计大赛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27</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eastAsia"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全国大学生市场调查与分析大赛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28</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中国大学生服务外包创新创业大赛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29</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两岸新锐设计竞赛“华灿奖”</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30</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长江钢琴·全国高校钢琴大赛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31</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中国高校计算机大赛-大数据挑战赛</w:t>
            </w:r>
          </w:p>
        </w:tc>
        <w:tc>
          <w:tcPr>
            <w:tcW w:w="2073" w:type="dxa"/>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32</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世界技能大赛</w:t>
            </w:r>
          </w:p>
        </w:tc>
        <w:tc>
          <w:tcPr>
            <w:tcW w:w="2073" w:type="dxa"/>
            <w:vMerge w:val="restart"/>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24"/>
                <w:szCs w:val="24"/>
                <w:vertAlign w:val="baseline"/>
                <w:lang w:val="en-US" w:eastAsia="zh-CN"/>
              </w:rPr>
              <w:t>只纳入高职排行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33</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世界技能大赛中国选拔赛</w:t>
            </w:r>
          </w:p>
        </w:tc>
        <w:tc>
          <w:tcPr>
            <w:tcW w:w="2073"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vAlign w:val="center"/>
          </w:tcPr>
          <w:p>
            <w:pPr>
              <w:jc w:val="center"/>
              <w:rPr>
                <w:rFonts w:hint="default" w:ascii="仿宋" w:hAnsi="仿宋" w:eastAsia="仿宋" w:cs="仿宋"/>
                <w:b/>
                <w:color w:val="333333"/>
                <w:spacing w:val="8"/>
                <w:kern w:val="0"/>
                <w:sz w:val="30"/>
                <w:szCs w:val="30"/>
                <w:vertAlign w:val="baseline"/>
                <w:lang w:val="en-US" w:eastAsia="zh-CN"/>
              </w:rPr>
            </w:pPr>
            <w:r>
              <w:rPr>
                <w:rFonts w:hint="eastAsia" w:ascii="仿宋" w:hAnsi="仿宋" w:eastAsia="仿宋" w:cs="仿宋"/>
                <w:b/>
                <w:color w:val="333333"/>
                <w:spacing w:val="8"/>
                <w:kern w:val="0"/>
                <w:sz w:val="30"/>
                <w:szCs w:val="30"/>
                <w:vertAlign w:val="baseline"/>
                <w:lang w:val="en-US" w:eastAsia="zh-CN"/>
              </w:rPr>
              <w:t>34</w:t>
            </w:r>
          </w:p>
        </w:tc>
        <w:tc>
          <w:tcPr>
            <w:tcW w:w="1437"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c>
          <w:tcPr>
            <w:tcW w:w="4668" w:type="dxa"/>
            <w:vAlign w:val="center"/>
          </w:tcPr>
          <w:p>
            <w:pPr>
              <w:jc w:val="both"/>
              <w:rPr>
                <w:rFonts w:hint="default" w:ascii="宋体" w:hAnsi="宋体" w:eastAsia="宋体" w:cs="宋体"/>
                <w:b/>
                <w:bCs/>
                <w:color w:val="333333"/>
                <w:spacing w:val="8"/>
                <w:kern w:val="0"/>
                <w:sz w:val="24"/>
                <w:szCs w:val="24"/>
                <w:vertAlign w:val="baseline"/>
                <w:lang w:val="en-US" w:eastAsia="zh-CN"/>
              </w:rPr>
            </w:pPr>
            <w:r>
              <w:rPr>
                <w:rFonts w:hint="eastAsia" w:ascii="宋体" w:hAnsi="宋体" w:eastAsia="宋体" w:cs="宋体"/>
                <w:b/>
                <w:bCs/>
                <w:color w:val="333333"/>
                <w:spacing w:val="8"/>
                <w:kern w:val="0"/>
                <w:sz w:val="24"/>
                <w:szCs w:val="24"/>
                <w:vertAlign w:val="baseline"/>
                <w:lang w:val="en-US" w:eastAsia="zh-CN"/>
              </w:rPr>
              <w:t>全国大学生机器人大赛RoboTac</w:t>
            </w:r>
          </w:p>
        </w:tc>
        <w:tc>
          <w:tcPr>
            <w:tcW w:w="2073" w:type="dxa"/>
            <w:vMerge w:val="continue"/>
          </w:tcPr>
          <w:p>
            <w:pPr>
              <w:jc w:val="both"/>
              <w:rPr>
                <w:rFonts w:hint="default" w:ascii="仿宋" w:hAnsi="仿宋" w:eastAsia="仿宋" w:cs="仿宋"/>
                <w:b/>
                <w:color w:val="333333"/>
                <w:spacing w:val="8"/>
                <w:kern w:val="0"/>
                <w:sz w:val="30"/>
                <w:szCs w:val="30"/>
                <w:vertAlign w:val="baseline"/>
                <w:lang w:val="en-US" w:eastAsia="zh-CN"/>
              </w:rPr>
            </w:pPr>
          </w:p>
        </w:tc>
      </w:tr>
    </w:tbl>
    <w:p>
      <w:pPr>
        <w:jc w:val="both"/>
        <w:rPr>
          <w:rFonts w:hint="default" w:ascii="仿宋" w:hAnsi="仿宋" w:eastAsia="仿宋" w:cs="仿宋"/>
          <w:b/>
          <w:color w:val="333333"/>
          <w:spacing w:val="8"/>
          <w:kern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E2D2E"/>
    <w:rsid w:val="0944779F"/>
    <w:rsid w:val="0FB835C8"/>
    <w:rsid w:val="27FE6924"/>
    <w:rsid w:val="73EE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2019-11-20T03:09:00Z</dcterms:created>
  <dc:creator>Administrator</dc:creator>
  <cp:lastModifiedBy>麦子</cp:lastModifiedBy>
  <dcterms:modified xsi:type="dcterms:W3CDTF">2019-11-21T07:14:04Z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