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6C" w:rsidRPr="006F2A4F" w:rsidRDefault="00EB4C6C" w:rsidP="00EB4C6C">
      <w:pPr>
        <w:pStyle w:val="2"/>
        <w:spacing w:before="405" w:afterLines="0"/>
        <w:rPr>
          <w:color w:val="000000" w:themeColor="text1"/>
        </w:rPr>
      </w:pPr>
      <w:bookmarkStart w:id="0" w:name="_Toc525287548"/>
      <w:bookmarkStart w:id="1" w:name="_Toc525899182"/>
      <w:r w:rsidRPr="006F2A4F">
        <w:rPr>
          <w:rFonts w:hint="eastAsia"/>
          <w:color w:val="000000" w:themeColor="text1"/>
        </w:rPr>
        <w:t>宜春学院教学工作先进集体与先进个人评选办法</w:t>
      </w:r>
      <w:bookmarkEnd w:id="0"/>
      <w:bookmarkEnd w:id="1"/>
    </w:p>
    <w:p w:rsidR="00EB4C6C" w:rsidRPr="006F2A4F" w:rsidRDefault="00EB4C6C" w:rsidP="00EB4C6C">
      <w:pPr>
        <w:spacing w:afterLines="150"/>
        <w:jc w:val="center"/>
        <w:rPr>
          <w:rFonts w:ascii="楷体_GB2312" w:eastAsia="楷体_GB2312"/>
          <w:color w:val="000000" w:themeColor="text1"/>
        </w:rPr>
      </w:pPr>
      <w:r w:rsidRPr="006F2A4F">
        <w:rPr>
          <w:rFonts w:ascii="楷体_GB2312" w:eastAsia="楷体_GB2312" w:hint="eastAsia"/>
          <w:color w:val="000000" w:themeColor="text1"/>
        </w:rPr>
        <w:t>宜学院办字〔2013〕25号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为突出教学工作中心地位，强化教学管理，提高教学质量，激发教学单位和教学管理人员加强教学和教学管理工作的积极性，推动我校教育教学工作再上新台阶，特制定本办法。</w:t>
      </w:r>
    </w:p>
    <w:p w:rsidR="00EB4C6C" w:rsidRPr="006F2A4F" w:rsidRDefault="00EB4C6C" w:rsidP="00EB4C6C">
      <w:pPr>
        <w:pStyle w:val="a3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一、评选项目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（一）教学工作先进集体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1.</w:t>
      </w:r>
      <w:r w:rsidRPr="006F2A4F">
        <w:rPr>
          <w:rFonts w:hint="eastAsia"/>
          <w:color w:val="000000" w:themeColor="text1"/>
        </w:rPr>
        <w:t>教学工作先进单位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2.</w:t>
      </w:r>
      <w:r w:rsidRPr="006F2A4F">
        <w:rPr>
          <w:rFonts w:hint="eastAsia"/>
          <w:color w:val="000000" w:themeColor="text1"/>
        </w:rPr>
        <w:t>教学管理工作先进集体（单项）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（二）教学管理工作先进个人</w:t>
      </w:r>
    </w:p>
    <w:p w:rsidR="00EB4C6C" w:rsidRPr="006F2A4F" w:rsidRDefault="00EB4C6C" w:rsidP="00EB4C6C">
      <w:pPr>
        <w:pStyle w:val="a3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二、评选范围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（一）教学工作先进集体：各教学院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（二）教学管理工作先进个人：各教学院教务科长、实践教学管理科长、实验中心主任、教务干事、全校教学管理部门相关工作人员</w:t>
      </w:r>
    </w:p>
    <w:p w:rsidR="00EB4C6C" w:rsidRPr="006F2A4F" w:rsidRDefault="00EB4C6C" w:rsidP="00EB4C6C">
      <w:pPr>
        <w:pStyle w:val="a3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三、评选条件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（一）教学工作先进集体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1.</w:t>
      </w:r>
      <w:r w:rsidRPr="006F2A4F">
        <w:rPr>
          <w:rFonts w:hint="eastAsia"/>
          <w:color w:val="000000" w:themeColor="text1"/>
        </w:rPr>
        <w:t>教学工作先进单位：见附件</w:t>
      </w:r>
      <w:r w:rsidRPr="006F2A4F">
        <w:rPr>
          <w:color w:val="000000" w:themeColor="text1"/>
        </w:rPr>
        <w:t>1</w:t>
      </w:r>
      <w:r w:rsidRPr="006F2A4F">
        <w:rPr>
          <w:rFonts w:hint="eastAsia"/>
          <w:color w:val="000000" w:themeColor="text1"/>
        </w:rPr>
        <w:t>。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2.</w:t>
      </w:r>
      <w:r w:rsidRPr="006F2A4F">
        <w:rPr>
          <w:rFonts w:hint="eastAsia"/>
          <w:color w:val="000000" w:themeColor="text1"/>
        </w:rPr>
        <w:t>教学管理工作先进集体（单项）：根据实际情况确定。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（二）教学管理工作先进个人：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1</w:t>
      </w:r>
      <w:r w:rsidRPr="006F2A4F">
        <w:rPr>
          <w:rFonts w:hint="eastAsia"/>
          <w:color w:val="000000" w:themeColor="text1"/>
        </w:rPr>
        <w:t>．综合素质高。热爱教育事业，积极投身学校的教育教学改革工作，能够做到管理育人，服务育人，具有较强的责任心和协调能力。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2</w:t>
      </w:r>
      <w:r w:rsidRPr="006F2A4F">
        <w:rPr>
          <w:rFonts w:hint="eastAsia"/>
          <w:color w:val="000000" w:themeColor="text1"/>
        </w:rPr>
        <w:t>．管理能力强。认真贯彻落实学校各项教学管理规章制度，熟练掌握现代化的教学管理手段，具有创新精神，能够独立解决教学管理工作中出现的问题。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3</w:t>
      </w:r>
      <w:r w:rsidRPr="006F2A4F">
        <w:rPr>
          <w:rFonts w:hint="eastAsia"/>
          <w:color w:val="000000" w:themeColor="text1"/>
        </w:rPr>
        <w:t>．服务意识好。工作认真负责，周到细致，任劳任怨，能够积极主动地为广大师生服务，工作规范，效率高，质量意识强。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4</w:t>
      </w:r>
      <w:r w:rsidRPr="006F2A4F">
        <w:rPr>
          <w:rFonts w:hint="eastAsia"/>
          <w:color w:val="000000" w:themeColor="text1"/>
        </w:rPr>
        <w:t>．能较好地配合教学管理职能部门的工作，按时参加有关教学方面的会议及活动，对学校及教务处交办的工作处理及时、妥善。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5</w:t>
      </w:r>
      <w:r w:rsidRPr="006F2A4F">
        <w:rPr>
          <w:rFonts w:hint="eastAsia"/>
          <w:color w:val="000000" w:themeColor="text1"/>
        </w:rPr>
        <w:t>．至本评选年度内未发生教学管理事故。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6</w:t>
      </w:r>
      <w:r w:rsidRPr="006F2A4F">
        <w:rPr>
          <w:rFonts w:hint="eastAsia"/>
          <w:color w:val="000000" w:themeColor="text1"/>
        </w:rPr>
        <w:t>．在教学管理岗位上工作</w:t>
      </w:r>
      <w:r w:rsidRPr="006F2A4F">
        <w:rPr>
          <w:color w:val="000000" w:themeColor="text1"/>
        </w:rPr>
        <w:t>2</w:t>
      </w:r>
      <w:r w:rsidRPr="006F2A4F">
        <w:rPr>
          <w:rFonts w:hint="eastAsia"/>
          <w:color w:val="000000" w:themeColor="text1"/>
        </w:rPr>
        <w:t>年以上（含</w:t>
      </w:r>
      <w:r w:rsidRPr="006F2A4F">
        <w:rPr>
          <w:color w:val="000000" w:themeColor="text1"/>
        </w:rPr>
        <w:t>2</w:t>
      </w:r>
      <w:r w:rsidRPr="006F2A4F">
        <w:rPr>
          <w:rFonts w:hint="eastAsia"/>
          <w:color w:val="000000" w:themeColor="text1"/>
        </w:rPr>
        <w:t>年）。</w:t>
      </w:r>
    </w:p>
    <w:p w:rsidR="00EB4C6C" w:rsidRPr="006F2A4F" w:rsidRDefault="00EB4C6C" w:rsidP="00EB4C6C">
      <w:pPr>
        <w:pStyle w:val="a3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四、评选时间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教学工作先进集体每</w:t>
      </w:r>
      <w:r w:rsidRPr="006F2A4F">
        <w:rPr>
          <w:color w:val="000000" w:themeColor="text1"/>
        </w:rPr>
        <w:t>2</w:t>
      </w:r>
      <w:r w:rsidRPr="006F2A4F">
        <w:rPr>
          <w:rFonts w:hint="eastAsia"/>
          <w:color w:val="000000" w:themeColor="text1"/>
        </w:rPr>
        <w:t>学年评选</w:t>
      </w:r>
      <w:r w:rsidRPr="006F2A4F">
        <w:rPr>
          <w:color w:val="000000" w:themeColor="text1"/>
        </w:rPr>
        <w:t>1</w:t>
      </w:r>
      <w:r w:rsidRPr="006F2A4F">
        <w:rPr>
          <w:rFonts w:hint="eastAsia"/>
          <w:color w:val="000000" w:themeColor="text1"/>
        </w:rPr>
        <w:t>次，教学管理工作先进个人每</w:t>
      </w:r>
      <w:r w:rsidRPr="006F2A4F">
        <w:rPr>
          <w:color w:val="000000" w:themeColor="text1"/>
        </w:rPr>
        <w:t>1</w:t>
      </w:r>
      <w:r w:rsidRPr="006F2A4F">
        <w:rPr>
          <w:rFonts w:hint="eastAsia"/>
          <w:color w:val="000000" w:themeColor="text1"/>
        </w:rPr>
        <w:t>学年评选</w:t>
      </w:r>
      <w:r w:rsidRPr="006F2A4F">
        <w:rPr>
          <w:color w:val="000000" w:themeColor="text1"/>
        </w:rPr>
        <w:t>1</w:t>
      </w:r>
      <w:r w:rsidRPr="006F2A4F">
        <w:rPr>
          <w:rFonts w:hint="eastAsia"/>
          <w:color w:val="000000" w:themeColor="text1"/>
        </w:rPr>
        <w:t>次。一般在</w:t>
      </w:r>
      <w:r w:rsidRPr="006F2A4F">
        <w:rPr>
          <w:color w:val="000000" w:themeColor="text1"/>
        </w:rPr>
        <w:t>9</w:t>
      </w:r>
      <w:r w:rsidRPr="006F2A4F">
        <w:rPr>
          <w:rFonts w:hint="eastAsia"/>
          <w:color w:val="000000" w:themeColor="text1"/>
        </w:rPr>
        <w:t>月初评选。评选考核的业绩范围为该评选学年度。</w:t>
      </w:r>
    </w:p>
    <w:p w:rsidR="00EB4C6C" w:rsidRPr="006F2A4F" w:rsidRDefault="00EB4C6C" w:rsidP="00EB4C6C">
      <w:pPr>
        <w:pStyle w:val="a3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五、指标分配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（一）教学工作先进集体：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1.</w:t>
      </w:r>
      <w:r w:rsidRPr="006F2A4F">
        <w:rPr>
          <w:rFonts w:hint="eastAsia"/>
          <w:color w:val="000000" w:themeColor="text1"/>
        </w:rPr>
        <w:t>教学工作先进单位：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全校每次评选</w:t>
      </w:r>
      <w:r w:rsidRPr="006F2A4F">
        <w:rPr>
          <w:color w:val="000000" w:themeColor="text1"/>
        </w:rPr>
        <w:t>5</w:t>
      </w:r>
      <w:r w:rsidRPr="006F2A4F">
        <w:rPr>
          <w:rFonts w:hint="eastAsia"/>
          <w:color w:val="000000" w:themeColor="text1"/>
        </w:rPr>
        <w:t>个教学工作先进单位。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lastRenderedPageBreak/>
        <w:t>2.</w:t>
      </w:r>
      <w:r w:rsidRPr="006F2A4F">
        <w:rPr>
          <w:rFonts w:hint="eastAsia"/>
          <w:color w:val="000000" w:themeColor="text1"/>
        </w:rPr>
        <w:t>教学管理工作先进集体（单项）：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根据实际情况评选教学管理工作先进集体（单项）若干名。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（二）教学管理工作先进个人：按全校教学管理人员总数</w:t>
      </w:r>
      <w:r w:rsidRPr="006F2A4F">
        <w:rPr>
          <w:color w:val="000000" w:themeColor="text1"/>
        </w:rPr>
        <w:t>20%</w:t>
      </w:r>
      <w:r w:rsidRPr="006F2A4F">
        <w:rPr>
          <w:rFonts w:hint="eastAsia"/>
          <w:color w:val="000000" w:themeColor="text1"/>
        </w:rPr>
        <w:t>的比例评选。</w:t>
      </w:r>
    </w:p>
    <w:p w:rsidR="00EB4C6C" w:rsidRPr="006F2A4F" w:rsidRDefault="00EB4C6C" w:rsidP="00EB4C6C">
      <w:pPr>
        <w:pStyle w:val="a3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六、表彰和奖励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（一）教学工作先进集体：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对获得“教学工作先进单位”和“教学管理工作先进集体（单项）”的教学院，给予全校通报表彰，并按照不同等级在当年正常教学经费下拨的基础上增拨经费，以资鼓励。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（二）教学管理工作先进个人：由学校授予荣誉称号，颁发荣誉证书，并给予一定的奖励。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附件：</w:t>
      </w:r>
      <w:r w:rsidRPr="006F2A4F">
        <w:rPr>
          <w:color w:val="000000" w:themeColor="text1"/>
        </w:rPr>
        <w:t>1.</w:t>
      </w:r>
      <w:r w:rsidRPr="006F2A4F">
        <w:rPr>
          <w:rFonts w:hint="eastAsia"/>
          <w:color w:val="000000" w:themeColor="text1"/>
        </w:rPr>
        <w:t>宜春学院教学工作先进单位评选条件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　</w:t>
      </w:r>
      <w:r w:rsidRPr="006F2A4F">
        <w:rPr>
          <w:color w:val="000000" w:themeColor="text1"/>
        </w:rPr>
        <w:t>2.</w:t>
      </w:r>
      <w:r w:rsidRPr="006F2A4F">
        <w:rPr>
          <w:rFonts w:hint="eastAsia"/>
          <w:color w:val="000000" w:themeColor="text1"/>
        </w:rPr>
        <w:t>宜春学院教学工作先进单位评价指标及标准（试行稿）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</w:p>
    <w:p w:rsidR="00EB4C6C" w:rsidRPr="006F2A4F" w:rsidRDefault="00EB4C6C" w:rsidP="00EB4C6C">
      <w:pPr>
        <w:widowControl/>
        <w:jc w:val="left"/>
        <w:rPr>
          <w:color w:val="000000" w:themeColor="text1"/>
        </w:rPr>
      </w:pPr>
      <w:r w:rsidRPr="006F2A4F">
        <w:rPr>
          <w:color w:val="000000" w:themeColor="text1"/>
        </w:rPr>
        <w:br w:type="page"/>
      </w:r>
    </w:p>
    <w:p w:rsidR="00EB4C6C" w:rsidRPr="006F2A4F" w:rsidRDefault="00EB4C6C" w:rsidP="00EB4C6C">
      <w:pPr>
        <w:rPr>
          <w:b/>
          <w:color w:val="000000" w:themeColor="text1"/>
        </w:rPr>
      </w:pPr>
      <w:r w:rsidRPr="006F2A4F">
        <w:rPr>
          <w:rFonts w:hint="eastAsia"/>
          <w:b/>
          <w:color w:val="000000" w:themeColor="text1"/>
        </w:rPr>
        <w:lastRenderedPageBreak/>
        <w:t>附件</w:t>
      </w:r>
      <w:r w:rsidRPr="006F2A4F">
        <w:rPr>
          <w:b/>
          <w:color w:val="000000" w:themeColor="text1"/>
        </w:rPr>
        <w:t>1</w:t>
      </w:r>
      <w:r w:rsidRPr="006F2A4F">
        <w:rPr>
          <w:rFonts w:hint="eastAsia"/>
          <w:b/>
          <w:color w:val="000000" w:themeColor="text1"/>
        </w:rPr>
        <w:t>：</w:t>
      </w:r>
    </w:p>
    <w:p w:rsidR="00EB4C6C" w:rsidRPr="006F2A4F" w:rsidRDefault="00EB4C6C" w:rsidP="00EB4C6C">
      <w:pPr>
        <w:rPr>
          <w:b/>
          <w:color w:val="000000" w:themeColor="text1"/>
        </w:rPr>
      </w:pPr>
    </w:p>
    <w:p w:rsidR="00EB4C6C" w:rsidRPr="0019575A" w:rsidRDefault="00EB4C6C" w:rsidP="00EB4C6C">
      <w:pPr>
        <w:jc w:val="center"/>
        <w:rPr>
          <w:b/>
          <w:color w:val="000000" w:themeColor="text1"/>
          <w:sz w:val="36"/>
          <w:szCs w:val="36"/>
        </w:rPr>
      </w:pPr>
      <w:r w:rsidRPr="0019575A">
        <w:rPr>
          <w:rFonts w:hint="eastAsia"/>
          <w:b/>
          <w:color w:val="000000" w:themeColor="text1"/>
          <w:sz w:val="36"/>
          <w:szCs w:val="36"/>
        </w:rPr>
        <w:t>宜春学院教学工作先进单位评选条件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以邓小平理论和“三个代表”重要思想为指导，深入贯彻落实科学发展观和教育部、教育厅有关高等教育教学改革和提高教学质量的文件精神，在深化教学改革、全面加强教学管理、切实提高教学质量工作中取得显著成效。</w:t>
      </w:r>
    </w:p>
    <w:p w:rsidR="00EB4C6C" w:rsidRPr="006F2A4F" w:rsidRDefault="00EB4C6C" w:rsidP="00EB4C6C">
      <w:pPr>
        <w:pStyle w:val="a3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一、教学工作中心地位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1.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学院第一责任人履行教学工作职责情况良好；学院高度重视本专科教学工作，定期研究解决教学中出现的问题，有详细的年度教学工作计划和总结；学校分配的教学经费使用科学、落实到位；教学管理制度健全、落实彻底并能及时督查。学院领导、老师听课次数达到学校有关要求，且效果好。</w:t>
      </w:r>
    </w:p>
    <w:p w:rsidR="00EB4C6C" w:rsidRPr="00191DC8" w:rsidRDefault="00EB4C6C" w:rsidP="00EB4C6C">
      <w:pPr>
        <w:ind w:firstLineChars="200" w:firstLine="460"/>
        <w:rPr>
          <w:color w:val="000000" w:themeColor="text1"/>
          <w:spacing w:val="4"/>
        </w:rPr>
      </w:pPr>
      <w:r w:rsidRPr="006F2A4F">
        <w:rPr>
          <w:color w:val="000000" w:themeColor="text1"/>
        </w:rPr>
        <w:t>2.</w:t>
      </w:r>
      <w:r w:rsidRPr="006F2A4F">
        <w:rPr>
          <w:rFonts w:hint="eastAsia"/>
          <w:color w:val="000000" w:themeColor="text1"/>
        </w:rPr>
        <w:t xml:space="preserve"> </w:t>
      </w:r>
      <w:r w:rsidRPr="00191DC8">
        <w:rPr>
          <w:rFonts w:hint="eastAsia"/>
          <w:color w:val="000000" w:themeColor="text1"/>
          <w:spacing w:val="4"/>
        </w:rPr>
        <w:t>保证教授依法履行学术职责，充分发挥教授委员会在教学、科研和学科专业建设方面的作用。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3.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高度重视教研室建设，有教研室建设规划，有活动经费保障，教研室建设有成效。教研室业务活动开展积极，并有鲜明的教学研讨、专业和课程建设主题与记录，教师教学、科研业务档案建立完善。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4.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重视教学管理队伍建设。有计划安排教学管理工作者参加校内外业务培训，不断提高综合素质。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5.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评优评先向一线教师倾斜。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提供数据：学院领导、老师人均听课次数、教研室业务活动开展次数、教研室教师人均听课次数、教授工作委员会和教学工作委员会开会次数、学院研究教学工作会议次数、教学院教学经费收支数据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准备支撑材料：学院年度教学工作计划和总结，学院领导、老师听课、巡视、调研情况汇总及纪录，教育教学方面学习材料，教学管理规章制度及反映执行效果的材料、有关会议记录，教研室建设规划，教研室人员名册，教研室活动开展记录，教师听课记录本、教师教学科研业务档案，学院教学经费使用情况等。</w:t>
      </w:r>
    </w:p>
    <w:p w:rsidR="00EB4C6C" w:rsidRPr="006F2A4F" w:rsidRDefault="00EB4C6C" w:rsidP="00EB4C6C">
      <w:pPr>
        <w:pStyle w:val="a3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二、教学运行管理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1.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课务管理：严格执行培养方案，以确保教学质量为前提，选聘各门课程的任课教师，开课任务落实完好；课表编制合理，课程调度规范有序；选课工作组织有序，选课结果满意。学生课程免修手续完备。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2.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考务管理：能够按照学校的要求做好本单位的考试安排和组织工作，在学生中开展考风考纪教育，无监考人员和考试工作人员违规情况；命题内容符合大纲要求，积极开展考试改革；试卷审核程序规范；教师阅卷规范及时，阅卷无差错，试卷分析规范完备；试卷保管、归档规范齐备；积极协助教务处做好省级及以上考试的报考和发证等工作；学生缓考手续完备。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3.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成绩管理：成绩录入、汇总、归档及时、准确；学生对成绩管理工作满意。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4.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学生基本理论和基本技能的培训和考核：制定了专业基本技能标准和培训与考核措施、过程材料完备、效果好；考研率、英语等级考试累计通过率、计算机等级考试在全校排名靠前；学生获得行业职业资格证书、单项技能证书比例高。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5.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教材征订与选用：及时、完整、准确填报教材征订计划；积极选用优秀教材、近三年新版教材。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提供数据：本院开课课程总门数、停（调）课次数及占课程总门次数比例；公</w:t>
      </w:r>
      <w:r w:rsidRPr="006F2A4F">
        <w:rPr>
          <w:rFonts w:hint="eastAsia"/>
          <w:color w:val="000000" w:themeColor="text1"/>
        </w:rPr>
        <w:lastRenderedPageBreak/>
        <w:t>选课申报、开课门数；监考人员和考务人员违规人次数、成绩未录入提交的课程门数、课程成绩修改人次数；毕业生人数、毕业人数、结业人数、学士学位授予人数和授予率；考研报考人数及占当年本科毕业生人数的比例、考研通过人数及通过率；英（法）语专业四级、八级累计通过人数及通过率、英语四级</w:t>
      </w:r>
      <w:r w:rsidRPr="006F2A4F">
        <w:rPr>
          <w:color w:val="000000" w:themeColor="text1"/>
        </w:rPr>
        <w:t>(</w:t>
      </w:r>
      <w:r w:rsidRPr="006F2A4F">
        <w:rPr>
          <w:rFonts w:hint="eastAsia"/>
          <w:color w:val="000000" w:themeColor="text1"/>
        </w:rPr>
        <w:t>本</w:t>
      </w:r>
      <w:r w:rsidRPr="006F2A4F">
        <w:rPr>
          <w:color w:val="000000" w:themeColor="text1"/>
        </w:rPr>
        <w:t>)</w:t>
      </w:r>
      <w:r w:rsidRPr="006F2A4F">
        <w:rPr>
          <w:rFonts w:hint="eastAsia"/>
          <w:color w:val="000000" w:themeColor="text1"/>
        </w:rPr>
        <w:t>、应用能力测试</w:t>
      </w:r>
      <w:r w:rsidRPr="006F2A4F">
        <w:rPr>
          <w:color w:val="000000" w:themeColor="text1"/>
        </w:rPr>
        <w:t>(</w:t>
      </w:r>
      <w:r w:rsidRPr="006F2A4F">
        <w:rPr>
          <w:rFonts w:hint="eastAsia"/>
          <w:color w:val="000000" w:themeColor="text1"/>
        </w:rPr>
        <w:t>专、特殊专业</w:t>
      </w:r>
      <w:r w:rsidRPr="006F2A4F">
        <w:rPr>
          <w:color w:val="000000" w:themeColor="text1"/>
        </w:rPr>
        <w:t>)</w:t>
      </w:r>
      <w:r w:rsidRPr="006F2A4F">
        <w:rPr>
          <w:rFonts w:hint="eastAsia"/>
          <w:color w:val="000000" w:themeColor="text1"/>
        </w:rPr>
        <w:t>累计通过人数及通过率、计算机等级考试</w:t>
      </w:r>
      <w:r w:rsidRPr="006F2A4F">
        <w:rPr>
          <w:color w:val="000000" w:themeColor="text1"/>
        </w:rPr>
        <w:t>(</w:t>
      </w:r>
      <w:r w:rsidRPr="006F2A4F">
        <w:rPr>
          <w:rFonts w:hint="eastAsia"/>
          <w:color w:val="000000" w:themeColor="text1"/>
        </w:rPr>
        <w:t>大文和特殊类专业一级、大理专业二级</w:t>
      </w:r>
      <w:r w:rsidRPr="006F2A4F">
        <w:rPr>
          <w:color w:val="000000" w:themeColor="text1"/>
        </w:rPr>
        <w:t>)</w:t>
      </w:r>
      <w:r w:rsidRPr="006F2A4F">
        <w:rPr>
          <w:rFonts w:hint="eastAsia"/>
          <w:color w:val="000000" w:themeColor="text1"/>
        </w:rPr>
        <w:t>累计通过人数及通过率；师范类学生通过普通话测试和取得教师资格证人数及通过率、各类专业技能（资格）证累计通过人数及通过率。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准备支撑材料：各专业基本技能标准与培训和考核情况、教师教学日历、调（停）课申请单、公选课开课审批单汇总表、学生免修课程申请表、学生课程成绩修改审批表、成绩总册、考试安排表、考试试卷审批暨印制申请表、试卷和成绩分析表归档、研究生报考与录取情况汇总表、英语等级考试成绩库、计算机等级考试成绩库、教材征订计划等。</w:t>
      </w:r>
    </w:p>
    <w:p w:rsidR="00EB4C6C" w:rsidRPr="006F2A4F" w:rsidRDefault="00EB4C6C" w:rsidP="00EB4C6C">
      <w:pPr>
        <w:pStyle w:val="a3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三、学籍管理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工作规范，在入学注册、转专业与转学、休学、停学、复学、退学、奖励与处分、毕业和毕业资格、学位授予资格审查等方面均能严格按照学籍管理规定和程序办理，能督促学生核对学籍信息、及时修改完善学籍信息，并能配合教务处准确做好学籍档案登载，归档完备。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提供数据：学籍信息的准确率、学年学籍异动人数。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准备支撑材料：学籍表、学年学籍异动汇总表（统计表）。</w:t>
      </w:r>
    </w:p>
    <w:p w:rsidR="00EB4C6C" w:rsidRPr="006F2A4F" w:rsidRDefault="00EB4C6C" w:rsidP="00EB4C6C">
      <w:pPr>
        <w:pStyle w:val="a3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四、教学建设与改革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1.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培养方案管理：能贯彻落实学校培养方案指导性意见，制</w:t>
      </w:r>
      <w:r w:rsidRPr="006F2A4F">
        <w:rPr>
          <w:color w:val="000000" w:themeColor="text1"/>
        </w:rPr>
        <w:t>(</w:t>
      </w:r>
      <w:r w:rsidRPr="006F2A4F">
        <w:rPr>
          <w:rFonts w:hint="eastAsia"/>
          <w:color w:val="000000" w:themeColor="text1"/>
        </w:rPr>
        <w:t>修</w:t>
      </w:r>
      <w:r w:rsidRPr="006F2A4F">
        <w:rPr>
          <w:color w:val="000000" w:themeColor="text1"/>
        </w:rPr>
        <w:t>)</w:t>
      </w:r>
      <w:r w:rsidRPr="006F2A4F">
        <w:rPr>
          <w:rFonts w:hint="eastAsia"/>
          <w:color w:val="000000" w:themeColor="text1"/>
        </w:rPr>
        <w:t>订科学，人才培养目标与规格定位准确；课程结构科学、合理，课程体系明确，符合培养目标与规格定位，具有专业特色，课程计划相对稳定，执行严格；能根据学科专业最新发展状况，遵循市场就业导向，分类针对性培养；每专业每学年能严格按照培养方案按时、准确地下达和落实教学任务。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2.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课程教学大纲管理：教学计划中各课程均有完整、规范的教学大纲（也可使用教育部制订的或推荐教材相应的教学大纲）；符合人才培养目标要求，并能根据人才培养需要及时完善教学大纲，能将教改、教研成果或学科最新发展成果引入教学，课程内容的基础性与先进性，经典与现代的关系处理得当；本课程与相关课程内容关系处理得当；在教学过程中能严格执行教学大纲。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3.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专业建设：每个专业均配备有专业负责人，有切实可行的专业建设规划，人才培养目标明确，有特色，能优化专业结构，注重对传统专业的改造，适度发展新兴交叉边缘学科专业；能确保专业经费投入到位，专业的办学条件符合培养目标的要求，专业建设成效显著。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4.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课程建设：每门课程均配备了具有较高教学业务水平的负责人，有与专业建设相匹配的课程建设规划，课程建设措施得力，效果明显，课程建设有很强的连续性；主要基础课、专业主干课中课程负责人制度执行好，校级以上重点课程、精品课程、精品资源共享课和视频公开课的比例高，且立项项目建设效果好；建立了教学内容更新机制，课程体系建设总体思路清晰，课程库资源丰富。各专业课程设置符合人才培养目标要求，体现多学科综合与交叉特征，有利于多种模式培养人才，各类选修课程充分满足学生自主选择的要求；有实施双语教学的激励措施和政策，教材选用得当、教学效果好。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5.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教育教学改革与研究成果：教师发表教改论文积极，教学改革立项项目多、级别高，并能按期完成；注重教育教学研究成果的推广和应用，积极改革教学方法、</w:t>
      </w:r>
      <w:r w:rsidRPr="006F2A4F">
        <w:rPr>
          <w:rFonts w:hint="eastAsia"/>
          <w:color w:val="000000" w:themeColor="text1"/>
        </w:rPr>
        <w:lastRenderedPageBreak/>
        <w:t>教学手段和人才培养模式，成效显著。</w:t>
      </w:r>
      <w:r w:rsidRPr="006F2A4F">
        <w:rPr>
          <w:color w:val="000000" w:themeColor="text1"/>
        </w:rPr>
        <w:t xml:space="preserve"> 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6.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教材建设：教材建设发展规划严格；教材建设项目的申报、优秀教材评选材料的准备及时充分；教师编写的积极性高，教材建设成效显著。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7.</w:t>
      </w:r>
      <w:r w:rsidRPr="006F2A4F">
        <w:rPr>
          <w:rFonts w:hint="eastAsia"/>
          <w:color w:val="000000" w:themeColor="text1"/>
        </w:rPr>
        <w:t xml:space="preserve"> </w:t>
      </w:r>
      <w:r w:rsidRPr="00191DC8">
        <w:rPr>
          <w:rFonts w:hint="eastAsia"/>
          <w:color w:val="000000" w:themeColor="text1"/>
          <w:spacing w:val="4"/>
        </w:rPr>
        <w:t>师资队伍与教学团队建设：重视师资队伍建设，注重培养高层次教学名师和教学团队。青年教师培养措施得力，教学梯队建设成效显著。建立了多个教学团队，经常开展教学团队教研活动。加强学术交流，积极开展教学竞赛和示范教学活动；参加学术交流人次数及占总教师数的比例。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提供数据：国家、省、校级特色</w:t>
      </w:r>
      <w:r w:rsidRPr="006F2A4F">
        <w:rPr>
          <w:color w:val="000000" w:themeColor="text1"/>
        </w:rPr>
        <w:t xml:space="preserve"> (</w:t>
      </w:r>
      <w:r w:rsidRPr="006F2A4F">
        <w:rPr>
          <w:rFonts w:hint="eastAsia"/>
          <w:color w:val="000000" w:themeColor="text1"/>
        </w:rPr>
        <w:t>重点</w:t>
      </w:r>
      <w:r w:rsidRPr="006F2A4F">
        <w:rPr>
          <w:color w:val="000000" w:themeColor="text1"/>
        </w:rPr>
        <w:t>)</w:t>
      </w:r>
      <w:r w:rsidRPr="006F2A4F">
        <w:rPr>
          <w:rFonts w:hint="eastAsia"/>
          <w:color w:val="000000" w:themeColor="text1"/>
        </w:rPr>
        <w:t>专业数、专业综合改革试点项目数、卓越计划项目数、精品</w:t>
      </w:r>
      <w:r w:rsidRPr="006F2A4F">
        <w:rPr>
          <w:color w:val="000000" w:themeColor="text1"/>
        </w:rPr>
        <w:t>(</w:t>
      </w:r>
      <w:r w:rsidRPr="006F2A4F">
        <w:rPr>
          <w:rFonts w:hint="eastAsia"/>
          <w:color w:val="000000" w:themeColor="text1"/>
        </w:rPr>
        <w:t>优质</w:t>
      </w:r>
      <w:r w:rsidRPr="006F2A4F">
        <w:rPr>
          <w:color w:val="000000" w:themeColor="text1"/>
        </w:rPr>
        <w:t>)</w:t>
      </w:r>
      <w:r w:rsidRPr="006F2A4F">
        <w:rPr>
          <w:rFonts w:hint="eastAsia"/>
          <w:color w:val="000000" w:themeColor="text1"/>
        </w:rPr>
        <w:t>课程门数、精品资源共享课、视频公开课门数、双语示范课程门数、教学团队及优秀教学团队数、教学名师人数、人才培养创新实验区数、教学成果奖获奖情况、自编教材数、优秀教材获奖、优秀多媒体课件获奖情况、实验教学示范中心数等；本专科专业数和招生专业数、具有学士学位授权专业数；课程开设总门次数、双语教学课程门数；教师发表教改论文数量、教改课题立项、结题项目数；师资队伍及教学团队建设、专业建设、课程建设经费投入数。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准备支撑材料：专业培养方案、教学任务安排表、教学计划变更表、课程教学大纲、专业建设规划、专业招生就业情况汇总表、课程建设规划、教材建设规划、师资队伍及教学团队建设规划、开展教学竞赛和示范教学材料、专业负责人和课程负责人名册、师资队伍及教学团队建设、专业建设、课程建设经费使用情况等。</w:t>
      </w:r>
    </w:p>
    <w:p w:rsidR="00EB4C6C" w:rsidRPr="006F2A4F" w:rsidRDefault="00EB4C6C" w:rsidP="00EB4C6C">
      <w:pPr>
        <w:pStyle w:val="a3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五、实践教学管理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1.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实习与实训：认真执行学校有关实习与实训的各项规章制度，制定科学、完善的实习与实训计划和实施细则，强化实习实训工作的有效管理，避免“放羊式”的实习、实训方式；严格执行培养方案，实习、实训大纲和实验指导书完备，编写规范，实践教学内容与体系设计科学合理，学生较早参加科研和创新活动；实习基地建设规范，布局合理，能满足教学需要。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2.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实验教学：认真执行学校有关实验教学的各项规章制度，相关记录完整，能及时准确提供“高等学校实验室信息统计”相关信息；实验室能满足人才培养目标的需要，布局科学合理，并能按实验教学大纲规定项目开出实验，综合性、设计性实验项目比例较高，教学效果好，实验报告管理规范；实验室开放时间长，开放范围及覆盖面广，研究性学习与创新性实验项目开展良好，项目数量多，成效显著。实践教学队伍结构合理，能满足教学需要。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3.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毕业设计（论文）：严格执行学校有关毕业设计（论文）的各项规章制度；指导教师资质及指导毕业生人数符合要求，选题结合实际，符合人才培养目标要求；管理工作程序规范，</w:t>
      </w:r>
      <w:r w:rsidRPr="006F2A4F">
        <w:rPr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质量有标准，答辩有记录，过程管理制度健全；质量好，无抄袭现象。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4.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学科专业竞赛：积极组织开展学科专业竞赛，覆盖面广，参加人数多，培养大学生自主创新意识、创新思维、实践动手能力和团队合作精神，成绩优异。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提供数据：实习实训基地个数；学生参加科研和创新活动获奖情况；实验室数量、设备使用率、开放实验室数、实验项目开出率、有综合性、设计性实验的课程占有实验课程总数的比例、开放性实验项目数；毕业论文（设计）总数、优秀毕业论文（设计）篇数、毕业论文（设计）指导老师数；学生学科专业竞赛获奖情况。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准备支撑材料：有关实验室管理、实验教学、实习与实训的规章制度、实习与实训计划、实习、实训大纲、实验指导书、实习实训基地情况汇总表、实验教学大纲、实验室设置情况汇总表、设备账物卡登记表、实验室使用及实验教学记录本（表）、实践教学队伍名册、实验计划项目及开出情况汇总表、毕业设计</w:t>
      </w:r>
      <w:r w:rsidRPr="006F2A4F">
        <w:rPr>
          <w:color w:val="000000" w:themeColor="text1"/>
        </w:rPr>
        <w:t>(</w:t>
      </w:r>
      <w:r w:rsidRPr="006F2A4F">
        <w:rPr>
          <w:rFonts w:hint="eastAsia"/>
          <w:color w:val="000000" w:themeColor="text1"/>
        </w:rPr>
        <w:t>论文</w:t>
      </w:r>
      <w:r w:rsidRPr="006F2A4F">
        <w:rPr>
          <w:color w:val="000000" w:themeColor="text1"/>
        </w:rPr>
        <w:t>)</w:t>
      </w:r>
      <w:r w:rsidRPr="006F2A4F">
        <w:rPr>
          <w:rFonts w:hint="eastAsia"/>
          <w:color w:val="000000" w:themeColor="text1"/>
        </w:rPr>
        <w:t>选题、指导</w:t>
      </w:r>
      <w:r w:rsidRPr="006F2A4F">
        <w:rPr>
          <w:rFonts w:hint="eastAsia"/>
          <w:color w:val="000000" w:themeColor="text1"/>
        </w:rPr>
        <w:lastRenderedPageBreak/>
        <w:t>教师、成绩等情况汇总表及过程管理材料、毕业生毕业论文（设计）、学科专业竞赛有关材料等。</w:t>
      </w:r>
    </w:p>
    <w:p w:rsidR="00EB4C6C" w:rsidRPr="006F2A4F" w:rsidRDefault="00EB4C6C" w:rsidP="00EB4C6C">
      <w:pPr>
        <w:pStyle w:val="a3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六、教学质量管理与评价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1.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教学过程的质量管理：建立了科学、完善的教学工作目标管理体制，教学质量保证与监控体系科学、完善，实现了教学工作评估与日常教学管理相结合；严格执行教学各环节质量标准，执行质量标准的实施方案好；能及时反馈质量监控结果，整改措施科学、合理；重视教风与学风建设，教师认真履行教学“六要素”（备课、上课、讨论、答疑、作业、考核）要求，严格遵守教学大纲和教学日历，遵守教学纪律，能及时发现并处理教学事故。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2.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教学督导与督查：建立了教学督导组和学生教学信息员队伍，职责明确，保障措施得力，工作开展正常，督查结果处理及时，成效显著；能严格按照学校总体要求，制定相关实施方案，积极主动开展教学检查工作；能密切配合学校有关部门进行教学检查，认真按时完成教学检查报告；能严肃认真地组织实施对本学院教学各环节的质量进行评估，并实事求是地提交其总结和年度报告。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3.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教学结果的质量管理：制定了本学院有效的教学质量奖惩措施；能密切配合学校有关部门，落实教学质量奖惩制度；指导学生考研、考证、考公务员等措施得力，效果良好。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提供数据：教学检查通报表扬、批评人次数、教学事故人次数。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准备支撑材料：教学督导组、学生教学信息员名册及相关工作记录材料、学院每学期召开学生座谈会的记录、期初、期中和期末教学检查方案、教学检查登记本（表）、情况通报及总结报告、教学环节质量评估方案、教学环节质量评估总结、教学质量奖惩措施、教学事故处理相关材料，指导学生考研、考证、考公务员等有关工作材料。</w:t>
      </w:r>
    </w:p>
    <w:p w:rsidR="00EB4C6C" w:rsidRPr="006F2A4F" w:rsidRDefault="00EB4C6C" w:rsidP="00EB4C6C">
      <w:pPr>
        <w:pStyle w:val="a3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七、加分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1.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获省级教学成果奖一等奖或国家级教学成果三等奖以上奖励；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2.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主持国家级教育教学改革研究项目；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3.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本科教学质量与教学改革工程（特色专业、专业综合改革试点、卓越计划、精品课程、精品资源共享课、视频公开课、实验教学示范中心、大学生校外实践教育基地、大学生创新性实验计划、人才培养模式创新实验区、教学团队、双语教学示范课程和教学名师奖）方面，获国家级项目或获省级项目累计数目位列全校前三位；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4.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考研录取率或毕业生就业率位列全校前五位；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5.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在人才培养模式创新、专业建设、课程建设、实践教学、校企（校）合作办学、教风学风建设等方面有特色项目，有推广意义，同行评价高。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准备支撑材料：专项特色材料。</w:t>
      </w: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</w:p>
    <w:p w:rsidR="00EB4C6C" w:rsidRPr="006F2A4F" w:rsidRDefault="00EB4C6C" w:rsidP="00EB4C6C">
      <w:pPr>
        <w:ind w:firstLineChars="200" w:firstLine="460"/>
        <w:rPr>
          <w:color w:val="000000" w:themeColor="text1"/>
        </w:rPr>
      </w:pPr>
    </w:p>
    <w:p w:rsidR="00EB4C6C" w:rsidRPr="006F2A4F" w:rsidRDefault="00EB4C6C" w:rsidP="00EB4C6C">
      <w:pPr>
        <w:widowControl/>
        <w:jc w:val="left"/>
        <w:rPr>
          <w:color w:val="000000" w:themeColor="text1"/>
        </w:rPr>
      </w:pPr>
      <w:r w:rsidRPr="006F2A4F">
        <w:rPr>
          <w:color w:val="000000" w:themeColor="text1"/>
        </w:rPr>
        <w:br w:type="page"/>
      </w:r>
    </w:p>
    <w:p w:rsidR="00EB4C6C" w:rsidRPr="006F2A4F" w:rsidRDefault="00EB4C6C" w:rsidP="00EB4C6C">
      <w:pPr>
        <w:rPr>
          <w:b/>
          <w:color w:val="000000" w:themeColor="text1"/>
        </w:rPr>
      </w:pPr>
      <w:r w:rsidRPr="006F2A4F">
        <w:rPr>
          <w:rFonts w:hint="eastAsia"/>
          <w:b/>
          <w:color w:val="000000" w:themeColor="text1"/>
        </w:rPr>
        <w:lastRenderedPageBreak/>
        <w:t>附件</w:t>
      </w:r>
      <w:r w:rsidRPr="006F2A4F">
        <w:rPr>
          <w:b/>
          <w:color w:val="000000" w:themeColor="text1"/>
        </w:rPr>
        <w:t>2</w:t>
      </w:r>
      <w:r w:rsidRPr="006F2A4F">
        <w:rPr>
          <w:rFonts w:hint="eastAsia"/>
          <w:b/>
          <w:color w:val="000000" w:themeColor="text1"/>
        </w:rPr>
        <w:t>：</w:t>
      </w:r>
    </w:p>
    <w:p w:rsidR="00EB4C6C" w:rsidRPr="006F2A4F" w:rsidRDefault="00EB4C6C" w:rsidP="00EB4C6C">
      <w:pPr>
        <w:snapToGrid w:val="0"/>
        <w:spacing w:beforeLines="50" w:afterLines="50" w:line="600" w:lineRule="exact"/>
        <w:jc w:val="center"/>
        <w:rPr>
          <w:rFonts w:asciiTheme="minorEastAsia" w:hAnsiTheme="minorEastAsia" w:cs="Times New Roman"/>
          <w:b/>
          <w:bCs/>
          <w:color w:val="000000" w:themeColor="text1"/>
          <w:spacing w:val="6"/>
          <w:kern w:val="22"/>
          <w:sz w:val="32"/>
          <w:szCs w:val="32"/>
        </w:rPr>
      </w:pPr>
      <w:r w:rsidRPr="006F2A4F">
        <w:rPr>
          <w:rFonts w:asciiTheme="minorEastAsia" w:hAnsiTheme="minorEastAsia" w:cs="Times New Roman" w:hint="eastAsia"/>
          <w:b/>
          <w:bCs/>
          <w:color w:val="000000" w:themeColor="text1"/>
          <w:spacing w:val="6"/>
          <w:kern w:val="22"/>
          <w:sz w:val="32"/>
          <w:szCs w:val="32"/>
        </w:rPr>
        <w:t>宜春学院教学工作先进单位评价指标及标准（试行稿）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3"/>
        <w:gridCol w:w="1064"/>
        <w:gridCol w:w="2884"/>
        <w:gridCol w:w="434"/>
        <w:gridCol w:w="601"/>
        <w:gridCol w:w="616"/>
        <w:gridCol w:w="1792"/>
        <w:gridCol w:w="1322"/>
      </w:tblGrid>
      <w:tr w:rsidR="00EB4C6C" w:rsidRPr="006F2A4F" w:rsidTr="00F86F7E">
        <w:trPr>
          <w:trHeight w:val="545"/>
          <w:jc w:val="center"/>
        </w:trPr>
        <w:tc>
          <w:tcPr>
            <w:tcW w:w="1707" w:type="dxa"/>
            <w:gridSpan w:val="2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评价指标</w:t>
            </w:r>
          </w:p>
        </w:tc>
        <w:tc>
          <w:tcPr>
            <w:tcW w:w="2884" w:type="dxa"/>
            <w:vMerge w:val="restart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指标内涵</w:t>
            </w:r>
          </w:p>
        </w:tc>
        <w:tc>
          <w:tcPr>
            <w:tcW w:w="1651" w:type="dxa"/>
            <w:gridSpan w:val="3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评分标准</w:t>
            </w:r>
          </w:p>
        </w:tc>
        <w:tc>
          <w:tcPr>
            <w:tcW w:w="1792" w:type="dxa"/>
            <w:vMerge w:val="restart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t>状态数据</w:t>
            </w:r>
          </w:p>
        </w:tc>
        <w:tc>
          <w:tcPr>
            <w:tcW w:w="1322" w:type="dxa"/>
            <w:vMerge w:val="restart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t>支撑材料</w:t>
            </w:r>
          </w:p>
        </w:tc>
      </w:tr>
      <w:tr w:rsidR="00EB4C6C" w:rsidRPr="006F2A4F" w:rsidTr="00F86F7E">
        <w:trPr>
          <w:trHeight w:val="545"/>
          <w:jc w:val="center"/>
        </w:trPr>
        <w:tc>
          <w:tcPr>
            <w:tcW w:w="643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一级</w:t>
            </w:r>
          </w:p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指标</w:t>
            </w:r>
          </w:p>
        </w:tc>
        <w:tc>
          <w:tcPr>
            <w:tcW w:w="1064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二级</w:t>
            </w:r>
          </w:p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指标</w:t>
            </w:r>
          </w:p>
        </w:tc>
        <w:tc>
          <w:tcPr>
            <w:tcW w:w="2884" w:type="dxa"/>
            <w:vMerge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</w:p>
        </w:tc>
        <w:tc>
          <w:tcPr>
            <w:tcW w:w="434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b/>
                <w:bCs/>
                <w:color w:val="000000" w:themeColor="text1"/>
                <w:kern w:val="22"/>
                <w:sz w:val="21"/>
              </w:rPr>
              <w:t>A</w:t>
            </w:r>
          </w:p>
        </w:tc>
        <w:tc>
          <w:tcPr>
            <w:tcW w:w="601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b/>
                <w:bCs/>
                <w:color w:val="000000" w:themeColor="text1"/>
                <w:kern w:val="22"/>
                <w:sz w:val="21"/>
              </w:rPr>
              <w:t>B</w:t>
            </w:r>
          </w:p>
        </w:tc>
        <w:tc>
          <w:tcPr>
            <w:tcW w:w="616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b/>
                <w:bCs/>
                <w:color w:val="000000" w:themeColor="text1"/>
                <w:kern w:val="22"/>
                <w:sz w:val="21"/>
              </w:rPr>
              <w:t>C</w:t>
            </w:r>
          </w:p>
        </w:tc>
        <w:tc>
          <w:tcPr>
            <w:tcW w:w="1792" w:type="dxa"/>
            <w:vMerge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</w:p>
        </w:tc>
        <w:tc>
          <w:tcPr>
            <w:tcW w:w="1322" w:type="dxa"/>
            <w:vMerge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</w:p>
        </w:tc>
      </w:tr>
      <w:tr w:rsidR="00EB4C6C" w:rsidRPr="006F2A4F" w:rsidTr="00F86F7E">
        <w:trPr>
          <w:trHeight w:val="3851"/>
          <w:jc w:val="center"/>
        </w:trPr>
        <w:tc>
          <w:tcPr>
            <w:tcW w:w="643" w:type="dxa"/>
            <w:vMerge w:val="restart"/>
            <w:vAlign w:val="center"/>
          </w:tcPr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Times New Roman" w:hint="eastAsia"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一、</w:t>
            </w:r>
          </w:p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t>教学</w:t>
            </w:r>
          </w:p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t>工作</w:t>
            </w:r>
          </w:p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t>中心</w:t>
            </w:r>
          </w:p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t>地位</w:t>
            </w:r>
          </w:p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  <w:t>10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kern w:val="22"/>
                <w:sz w:val="21"/>
              </w:rPr>
              <w:t>分</w:t>
            </w:r>
          </w:p>
        </w:tc>
        <w:tc>
          <w:tcPr>
            <w:tcW w:w="1064" w:type="dxa"/>
            <w:vAlign w:val="center"/>
          </w:tcPr>
          <w:p w:rsidR="00EB4C6C" w:rsidRPr="006F2A4F" w:rsidRDefault="00EB4C6C" w:rsidP="00F86F7E">
            <w:pPr>
              <w:snapToGrid w:val="0"/>
              <w:rPr>
                <w:rFonts w:ascii="宋体" w:eastAsia="宋体" w:hAnsi="Calibri" w:cs="Times New Roman" w:hint="eastAsia"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1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、总体工作思路（</w:t>
            </w: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4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分）</w:t>
            </w:r>
          </w:p>
        </w:tc>
        <w:tc>
          <w:tcPr>
            <w:tcW w:w="2884" w:type="dxa"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学院第一责任人履行教学工作职责情况良好；学院高度重视本专科教学工作，经常研究解决教学中出现的问题，有详细的年度教学工作计划和总结；学校分配的教学经费使用科学、落实到位；教学管理制度健全、落实彻底并能及时督查。学院领导、老师听课次数达到学校有关要求，且效果好。</w:t>
            </w:r>
          </w:p>
        </w:tc>
        <w:tc>
          <w:tcPr>
            <w:tcW w:w="434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  <w:t>4</w:t>
            </w:r>
          </w:p>
        </w:tc>
        <w:tc>
          <w:tcPr>
            <w:tcW w:w="601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  <w:t>3.2</w:t>
            </w:r>
          </w:p>
        </w:tc>
        <w:tc>
          <w:tcPr>
            <w:tcW w:w="616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  <w:t>2.4</w:t>
            </w:r>
          </w:p>
        </w:tc>
        <w:tc>
          <w:tcPr>
            <w:tcW w:w="1792" w:type="dxa"/>
            <w:vMerge w:val="restart"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学院领导、老师人均听课次数、教研室业务活动开展次数、教研室教师人均听课次数、教授工作委员会和教学工作委员会开会次数、学院研究教学工作会议次数、教学院教学经费收支数据。</w:t>
            </w:r>
          </w:p>
        </w:tc>
        <w:tc>
          <w:tcPr>
            <w:tcW w:w="1322" w:type="dxa"/>
            <w:vMerge w:val="restart"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学院年度教学工作计划和总结、学院领导、老师听课、巡视、调研情况汇总及纪录、教育教学方面学习材料、教学管理规章制度及反映执行效果的材料、有关会议记录、教研室建设规划、教研室人员名册、教研室活动开展记录、教师听课记录本、教师教学科研业务档案、学院教学经费使用情况等。</w:t>
            </w:r>
          </w:p>
        </w:tc>
      </w:tr>
      <w:tr w:rsidR="00EB4C6C" w:rsidRPr="006F2A4F" w:rsidTr="00F86F7E">
        <w:trPr>
          <w:trHeight w:val="1709"/>
          <w:jc w:val="center"/>
        </w:trPr>
        <w:tc>
          <w:tcPr>
            <w:tcW w:w="643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Times New Roman" w:hint="eastAsia"/>
                <w:color w:val="000000" w:themeColor="text1"/>
                <w:sz w:val="21"/>
              </w:rPr>
            </w:pPr>
          </w:p>
        </w:tc>
        <w:tc>
          <w:tcPr>
            <w:tcW w:w="1064" w:type="dxa"/>
            <w:vAlign w:val="center"/>
          </w:tcPr>
          <w:p w:rsidR="00EB4C6C" w:rsidRPr="006F2A4F" w:rsidRDefault="00EB4C6C" w:rsidP="00F86F7E">
            <w:pPr>
              <w:snapToGrid w:val="0"/>
              <w:rPr>
                <w:rFonts w:ascii="宋体" w:eastAsia="宋体" w:hAnsi="Calibri" w:cs="Times New Roman" w:hint="eastAsia"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2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、教授委员会工作（</w:t>
            </w: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1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分）</w:t>
            </w:r>
          </w:p>
        </w:tc>
        <w:tc>
          <w:tcPr>
            <w:tcW w:w="2884" w:type="dxa"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保证教授依法履行学术职责，充分发挥教授委员会在教学、科研和学科专业建设方面的作用。</w:t>
            </w:r>
          </w:p>
        </w:tc>
        <w:tc>
          <w:tcPr>
            <w:tcW w:w="434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1</w:t>
            </w:r>
          </w:p>
        </w:tc>
        <w:tc>
          <w:tcPr>
            <w:tcW w:w="601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0.8</w:t>
            </w:r>
          </w:p>
        </w:tc>
        <w:tc>
          <w:tcPr>
            <w:tcW w:w="616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0.6</w:t>
            </w:r>
          </w:p>
        </w:tc>
        <w:tc>
          <w:tcPr>
            <w:tcW w:w="1792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</w:p>
        </w:tc>
        <w:tc>
          <w:tcPr>
            <w:tcW w:w="1322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</w:p>
        </w:tc>
      </w:tr>
      <w:tr w:rsidR="00EB4C6C" w:rsidRPr="006F2A4F" w:rsidTr="00F86F7E">
        <w:trPr>
          <w:trHeight w:val="2589"/>
          <w:jc w:val="center"/>
        </w:trPr>
        <w:tc>
          <w:tcPr>
            <w:tcW w:w="643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</w:p>
        </w:tc>
        <w:tc>
          <w:tcPr>
            <w:tcW w:w="1064" w:type="dxa"/>
            <w:vAlign w:val="center"/>
          </w:tcPr>
          <w:p w:rsidR="00EB4C6C" w:rsidRPr="006F2A4F" w:rsidRDefault="00EB4C6C" w:rsidP="00F86F7E">
            <w:pPr>
              <w:snapToGrid w:val="0"/>
              <w:rPr>
                <w:rFonts w:ascii="宋体" w:eastAsia="宋体" w:hAnsi="Calibri" w:cs="Times New Roman" w:hint="eastAsia"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3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、教研室建设（</w:t>
            </w: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3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分）</w:t>
            </w:r>
          </w:p>
        </w:tc>
        <w:tc>
          <w:tcPr>
            <w:tcW w:w="2884" w:type="dxa"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高度重视教研室建设，有教研室建设规划，有活动经费保障，教研室建设有成效。教研室业务活动开展积极，并有鲜明的教学研讨、专业和课程建设主题与记录，教师教学、科研业务档案建立完善。</w:t>
            </w:r>
          </w:p>
        </w:tc>
        <w:tc>
          <w:tcPr>
            <w:tcW w:w="434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  <w:t>3</w:t>
            </w:r>
          </w:p>
        </w:tc>
        <w:tc>
          <w:tcPr>
            <w:tcW w:w="601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  <w:t>2.4</w:t>
            </w:r>
          </w:p>
        </w:tc>
        <w:tc>
          <w:tcPr>
            <w:tcW w:w="616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  <w:t>1.8</w:t>
            </w:r>
          </w:p>
        </w:tc>
        <w:tc>
          <w:tcPr>
            <w:tcW w:w="1792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</w:p>
        </w:tc>
        <w:tc>
          <w:tcPr>
            <w:tcW w:w="1322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</w:p>
        </w:tc>
      </w:tr>
      <w:tr w:rsidR="00EB4C6C" w:rsidRPr="006F2A4F" w:rsidTr="00F86F7E">
        <w:trPr>
          <w:trHeight w:val="1652"/>
          <w:jc w:val="center"/>
        </w:trPr>
        <w:tc>
          <w:tcPr>
            <w:tcW w:w="643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</w:p>
        </w:tc>
        <w:tc>
          <w:tcPr>
            <w:tcW w:w="1064" w:type="dxa"/>
            <w:vAlign w:val="center"/>
          </w:tcPr>
          <w:p w:rsidR="00EB4C6C" w:rsidRPr="006F2A4F" w:rsidRDefault="00EB4C6C" w:rsidP="00F86F7E">
            <w:pPr>
              <w:snapToGrid w:val="0"/>
              <w:rPr>
                <w:rFonts w:ascii="宋体" w:eastAsia="宋体" w:hAnsi="Calibri" w:cs="Times New Roman" w:hint="eastAsia"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4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、教学管理队伍建设（</w:t>
            </w: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1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分）</w:t>
            </w:r>
          </w:p>
        </w:tc>
        <w:tc>
          <w:tcPr>
            <w:tcW w:w="2884" w:type="dxa"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重视教学管理队伍建设。教学管理队伍作风过硬，素质高。有计划安排教学管理工作者参加校内外业务培训，不断提高综合素质。</w:t>
            </w:r>
          </w:p>
        </w:tc>
        <w:tc>
          <w:tcPr>
            <w:tcW w:w="434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1</w:t>
            </w:r>
          </w:p>
        </w:tc>
        <w:tc>
          <w:tcPr>
            <w:tcW w:w="601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0.8</w:t>
            </w:r>
          </w:p>
        </w:tc>
        <w:tc>
          <w:tcPr>
            <w:tcW w:w="616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0.6</w:t>
            </w:r>
          </w:p>
        </w:tc>
        <w:tc>
          <w:tcPr>
            <w:tcW w:w="1792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</w:p>
        </w:tc>
        <w:tc>
          <w:tcPr>
            <w:tcW w:w="1322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</w:p>
        </w:tc>
      </w:tr>
      <w:tr w:rsidR="00EB4C6C" w:rsidRPr="006F2A4F" w:rsidTr="00F86F7E">
        <w:trPr>
          <w:trHeight w:val="703"/>
          <w:jc w:val="center"/>
        </w:trPr>
        <w:tc>
          <w:tcPr>
            <w:tcW w:w="643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</w:p>
        </w:tc>
        <w:tc>
          <w:tcPr>
            <w:tcW w:w="1064" w:type="dxa"/>
            <w:vAlign w:val="center"/>
          </w:tcPr>
          <w:p w:rsidR="00EB4C6C" w:rsidRPr="006F2A4F" w:rsidRDefault="00EB4C6C" w:rsidP="00F86F7E">
            <w:pPr>
              <w:snapToGrid w:val="0"/>
              <w:rPr>
                <w:rFonts w:ascii="宋体" w:eastAsia="宋体" w:hAnsi="Calibri" w:cs="Times New Roman" w:hint="eastAsia"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5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、评优评先（</w:t>
            </w: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1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分）</w:t>
            </w:r>
          </w:p>
        </w:tc>
        <w:tc>
          <w:tcPr>
            <w:tcW w:w="2884" w:type="dxa"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向一线教师倾斜。</w:t>
            </w:r>
          </w:p>
        </w:tc>
        <w:tc>
          <w:tcPr>
            <w:tcW w:w="434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1</w:t>
            </w:r>
          </w:p>
        </w:tc>
        <w:tc>
          <w:tcPr>
            <w:tcW w:w="601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0.8</w:t>
            </w:r>
          </w:p>
        </w:tc>
        <w:tc>
          <w:tcPr>
            <w:tcW w:w="616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0.6</w:t>
            </w:r>
          </w:p>
        </w:tc>
        <w:tc>
          <w:tcPr>
            <w:tcW w:w="1792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</w:p>
        </w:tc>
        <w:tc>
          <w:tcPr>
            <w:tcW w:w="1322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</w:p>
        </w:tc>
      </w:tr>
      <w:tr w:rsidR="00EB4C6C" w:rsidRPr="006F2A4F" w:rsidTr="00F86F7E">
        <w:trPr>
          <w:trHeight w:val="545"/>
          <w:tblHeader/>
          <w:jc w:val="center"/>
        </w:trPr>
        <w:tc>
          <w:tcPr>
            <w:tcW w:w="1707" w:type="dxa"/>
            <w:gridSpan w:val="2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评价指标</w:t>
            </w:r>
          </w:p>
        </w:tc>
        <w:tc>
          <w:tcPr>
            <w:tcW w:w="2884" w:type="dxa"/>
            <w:vMerge w:val="restart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指标内涵</w:t>
            </w:r>
          </w:p>
        </w:tc>
        <w:tc>
          <w:tcPr>
            <w:tcW w:w="1651" w:type="dxa"/>
            <w:gridSpan w:val="3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评分标准</w:t>
            </w:r>
          </w:p>
        </w:tc>
        <w:tc>
          <w:tcPr>
            <w:tcW w:w="1792" w:type="dxa"/>
            <w:vMerge w:val="restart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t>状态数据</w:t>
            </w:r>
          </w:p>
        </w:tc>
        <w:tc>
          <w:tcPr>
            <w:tcW w:w="1322" w:type="dxa"/>
            <w:vMerge w:val="restart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t>支撑材料</w:t>
            </w:r>
          </w:p>
        </w:tc>
      </w:tr>
      <w:tr w:rsidR="00EB4C6C" w:rsidRPr="006F2A4F" w:rsidTr="00F86F7E">
        <w:trPr>
          <w:trHeight w:val="545"/>
          <w:tblHeader/>
          <w:jc w:val="center"/>
        </w:trPr>
        <w:tc>
          <w:tcPr>
            <w:tcW w:w="643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lastRenderedPageBreak/>
              <w:t>一级</w:t>
            </w:r>
          </w:p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指标</w:t>
            </w:r>
          </w:p>
        </w:tc>
        <w:tc>
          <w:tcPr>
            <w:tcW w:w="1064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二级</w:t>
            </w:r>
          </w:p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指标</w:t>
            </w:r>
          </w:p>
        </w:tc>
        <w:tc>
          <w:tcPr>
            <w:tcW w:w="2884" w:type="dxa"/>
            <w:vMerge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</w:p>
        </w:tc>
        <w:tc>
          <w:tcPr>
            <w:tcW w:w="434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b/>
                <w:bCs/>
                <w:color w:val="000000" w:themeColor="text1"/>
                <w:kern w:val="22"/>
                <w:sz w:val="21"/>
              </w:rPr>
              <w:t>A</w:t>
            </w:r>
          </w:p>
        </w:tc>
        <w:tc>
          <w:tcPr>
            <w:tcW w:w="601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b/>
                <w:bCs/>
                <w:color w:val="000000" w:themeColor="text1"/>
                <w:kern w:val="22"/>
                <w:sz w:val="21"/>
              </w:rPr>
              <w:t>B</w:t>
            </w:r>
          </w:p>
        </w:tc>
        <w:tc>
          <w:tcPr>
            <w:tcW w:w="616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b/>
                <w:bCs/>
                <w:color w:val="000000" w:themeColor="text1"/>
                <w:kern w:val="22"/>
                <w:sz w:val="21"/>
              </w:rPr>
              <w:t>C</w:t>
            </w:r>
          </w:p>
        </w:tc>
        <w:tc>
          <w:tcPr>
            <w:tcW w:w="1792" w:type="dxa"/>
            <w:vMerge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</w:p>
        </w:tc>
        <w:tc>
          <w:tcPr>
            <w:tcW w:w="1322" w:type="dxa"/>
            <w:vMerge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</w:p>
        </w:tc>
      </w:tr>
      <w:tr w:rsidR="00EB4C6C" w:rsidRPr="006F2A4F" w:rsidTr="00F86F7E">
        <w:trPr>
          <w:trHeight w:val="2464"/>
          <w:jc w:val="center"/>
        </w:trPr>
        <w:tc>
          <w:tcPr>
            <w:tcW w:w="643" w:type="dxa"/>
            <w:vMerge w:val="restart"/>
            <w:vAlign w:val="center"/>
          </w:tcPr>
          <w:p w:rsidR="00EB4C6C" w:rsidRPr="006F2A4F" w:rsidRDefault="00EB4C6C" w:rsidP="00F86F7E">
            <w:pPr>
              <w:widowControl/>
              <w:snapToGrid w:val="0"/>
              <w:ind w:leftChars="-85" w:left="-195" w:rightChars="-137" w:right="-315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F2A4F">
              <w:rPr>
                <w:rFonts w:ascii="宋体" w:eastAsia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二、</w:t>
            </w:r>
          </w:p>
          <w:p w:rsidR="00EB4C6C" w:rsidRPr="006F2A4F" w:rsidRDefault="00EB4C6C" w:rsidP="00F86F7E">
            <w:pPr>
              <w:widowControl/>
              <w:snapToGrid w:val="0"/>
              <w:ind w:leftChars="-85" w:left="-195" w:rightChars="-137" w:right="-315"/>
              <w:jc w:val="center"/>
              <w:rPr>
                <w:rFonts w:ascii="宋体" w:eastAsia="宋体" w:hAnsi="宋体" w:cs="Times New Roman"/>
                <w:b/>
                <w:color w:val="000000" w:themeColor="text1"/>
                <w:kern w:val="0"/>
                <w:sz w:val="21"/>
                <w:szCs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1"/>
                <w:szCs w:val="21"/>
              </w:rPr>
              <w:t>教学</w:t>
            </w:r>
          </w:p>
          <w:p w:rsidR="00EB4C6C" w:rsidRPr="006F2A4F" w:rsidRDefault="00EB4C6C" w:rsidP="00F86F7E">
            <w:pPr>
              <w:widowControl/>
              <w:snapToGrid w:val="0"/>
              <w:ind w:leftChars="-85" w:left="-195" w:rightChars="-137" w:right="-315"/>
              <w:jc w:val="center"/>
              <w:rPr>
                <w:rFonts w:ascii="宋体" w:eastAsia="宋体" w:hAnsi="宋体" w:cs="Times New Roman"/>
                <w:b/>
                <w:color w:val="000000" w:themeColor="text1"/>
                <w:kern w:val="0"/>
                <w:sz w:val="21"/>
                <w:szCs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1"/>
                <w:szCs w:val="21"/>
              </w:rPr>
              <w:t>运行</w:t>
            </w:r>
          </w:p>
          <w:p w:rsidR="00EB4C6C" w:rsidRPr="006F2A4F" w:rsidRDefault="00EB4C6C" w:rsidP="00F86F7E">
            <w:pPr>
              <w:widowControl/>
              <w:snapToGrid w:val="0"/>
              <w:ind w:leftChars="-85" w:left="-195" w:rightChars="-137" w:right="-315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1"/>
                <w:szCs w:val="21"/>
              </w:rPr>
              <w:t>管理</w:t>
            </w:r>
          </w:p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  <w:t>25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kern w:val="22"/>
                <w:sz w:val="21"/>
              </w:rPr>
              <w:t>分</w:t>
            </w:r>
          </w:p>
        </w:tc>
        <w:tc>
          <w:tcPr>
            <w:tcW w:w="1064" w:type="dxa"/>
            <w:vAlign w:val="center"/>
          </w:tcPr>
          <w:p w:rsidR="00EB4C6C" w:rsidRPr="006F2A4F" w:rsidRDefault="00EB4C6C" w:rsidP="00F86F7E">
            <w:pPr>
              <w:snapToGrid w:val="0"/>
              <w:rPr>
                <w:rFonts w:ascii="宋体" w:eastAsia="宋体" w:hAnsi="Calibri" w:cs="宋体" w:hint="eastAsia"/>
                <w:b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b/>
                <w:color w:val="000000" w:themeColor="text1"/>
                <w:kern w:val="0"/>
                <w:sz w:val="21"/>
              </w:rPr>
              <w:t>1</w:t>
            </w:r>
            <w:r w:rsidRPr="006F2A4F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1"/>
              </w:rPr>
              <w:t>、课务管理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（</w:t>
            </w: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5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分）</w:t>
            </w:r>
          </w:p>
        </w:tc>
        <w:tc>
          <w:tcPr>
            <w:tcW w:w="2884" w:type="dxa"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严格执行培养方案，以确保教学质量为前提，选聘各门课程的任课教师，开课任务落实完好；课表编制合理，课程调度规范有序；选课工作组织有序，选课结果满意；学生课程免修手续完备。</w:t>
            </w:r>
          </w:p>
        </w:tc>
        <w:tc>
          <w:tcPr>
            <w:tcW w:w="434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  <w:t>5</w:t>
            </w:r>
          </w:p>
        </w:tc>
        <w:tc>
          <w:tcPr>
            <w:tcW w:w="601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  <w:t>4</w:t>
            </w:r>
          </w:p>
        </w:tc>
        <w:tc>
          <w:tcPr>
            <w:tcW w:w="616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  <w:t>3</w:t>
            </w:r>
          </w:p>
        </w:tc>
        <w:tc>
          <w:tcPr>
            <w:tcW w:w="1792" w:type="dxa"/>
            <w:vMerge w:val="restart"/>
            <w:vAlign w:val="center"/>
          </w:tcPr>
          <w:p w:rsidR="00EB4C6C" w:rsidRPr="006F2A4F" w:rsidRDefault="00EB4C6C" w:rsidP="00F86F7E">
            <w:pPr>
              <w:snapToGrid w:val="0"/>
              <w:ind w:firstLineChars="100" w:firstLine="21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本院开课课程总门数、停（调）课次数及占课程总门次数比例；公选课申报、开课门数；监考人员和考务人员违规人次数、成绩未录入提交的课程门数、课程成绩修改人次数；毕业生人数、毕业人数、结业人数、学士学位授予人数和授予率；考研报考人数及占当年本科毕业生人数的比例、考研通过人数及通过率；英（法）语专业四级、八级累计通过人数及通过率、英语四级</w:t>
            </w: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(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本</w:t>
            </w: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)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、应用能力测试</w:t>
            </w: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(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专、特殊专业</w:t>
            </w: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)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累计通过人数及通过率、计算机等级考试</w:t>
            </w: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(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大文和特殊类专业一级、大理专业二级</w:t>
            </w: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)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累计通过人数及通过率；师范类学生通过普通话测试和取得教师资格证人数及通过率、各类专业技能（资格）证累计通过人数及通过率。</w:t>
            </w:r>
          </w:p>
        </w:tc>
        <w:tc>
          <w:tcPr>
            <w:tcW w:w="1322" w:type="dxa"/>
            <w:vMerge w:val="restart"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2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t>各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专业基本技能标准与培训和考核情况、教师教学日历、</w:t>
            </w: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t>各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专业基本技能标准与培训和考核情况、教师教学日历、调（停）课申请单、公选课开课审批单汇总表、学生免修课程申请表、学生缓考申请表、学生课程成绩修改审批表、成绩总册、考试安排表、考试试卷审批暨印制申请表、试卷和成绩分析表归档、研究生报考与录取情况汇总表、英语等级考试成绩库、计算机等级考试成绩库、教材征订计划、学生获得行业职业资格证书和单项技能证书情况汇总表等。</w:t>
            </w:r>
          </w:p>
        </w:tc>
      </w:tr>
      <w:tr w:rsidR="00EB4C6C" w:rsidRPr="006F2A4F" w:rsidTr="00F86F7E">
        <w:trPr>
          <w:trHeight w:val="4308"/>
          <w:jc w:val="center"/>
        </w:trPr>
        <w:tc>
          <w:tcPr>
            <w:tcW w:w="643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</w:p>
        </w:tc>
        <w:tc>
          <w:tcPr>
            <w:tcW w:w="1064" w:type="dxa"/>
            <w:vAlign w:val="center"/>
          </w:tcPr>
          <w:p w:rsidR="00EB4C6C" w:rsidRPr="006F2A4F" w:rsidRDefault="00EB4C6C" w:rsidP="00F86F7E">
            <w:pPr>
              <w:snapToGrid w:val="0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/>
                <w:b/>
                <w:color w:val="000000" w:themeColor="text1"/>
                <w:sz w:val="21"/>
              </w:rPr>
              <w:t>2</w:t>
            </w: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t>、考务管理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（</w:t>
            </w: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6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分）</w:t>
            </w:r>
          </w:p>
        </w:tc>
        <w:tc>
          <w:tcPr>
            <w:tcW w:w="2884" w:type="dxa"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能够按照学校的要求及时落实考试任务，做好本单位的考试安排和组织工作，在学生中开展考风考纪教育，无监考人员和考试工作人员违规情况；命题内容符合大纲要求，积极开展考试改革；试卷审核程序规范；教师阅卷规范及时，阅卷无差错，试卷分析规范完备；试卷保管、归档规范齐备。积极协助教务处做好省级及以上考试的报考和发证等工作；学生缓考手续完备。</w:t>
            </w:r>
          </w:p>
        </w:tc>
        <w:tc>
          <w:tcPr>
            <w:tcW w:w="434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  <w:t>6</w:t>
            </w:r>
          </w:p>
        </w:tc>
        <w:tc>
          <w:tcPr>
            <w:tcW w:w="601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  <w:t>4.8</w:t>
            </w:r>
          </w:p>
        </w:tc>
        <w:tc>
          <w:tcPr>
            <w:tcW w:w="616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  <w:t>3.6</w:t>
            </w:r>
          </w:p>
        </w:tc>
        <w:tc>
          <w:tcPr>
            <w:tcW w:w="1792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</w:p>
        </w:tc>
        <w:tc>
          <w:tcPr>
            <w:tcW w:w="1322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</w:p>
        </w:tc>
      </w:tr>
      <w:tr w:rsidR="00EB4C6C" w:rsidRPr="006F2A4F" w:rsidTr="00F86F7E">
        <w:trPr>
          <w:trHeight w:val="1545"/>
          <w:jc w:val="center"/>
        </w:trPr>
        <w:tc>
          <w:tcPr>
            <w:tcW w:w="643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</w:p>
        </w:tc>
        <w:tc>
          <w:tcPr>
            <w:tcW w:w="1064" w:type="dxa"/>
            <w:vAlign w:val="center"/>
          </w:tcPr>
          <w:p w:rsidR="00EB4C6C" w:rsidRPr="006F2A4F" w:rsidRDefault="00EB4C6C" w:rsidP="00F86F7E">
            <w:pPr>
              <w:snapToGrid w:val="0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/>
                <w:b/>
                <w:color w:val="000000" w:themeColor="text1"/>
                <w:sz w:val="21"/>
              </w:rPr>
              <w:t>3</w:t>
            </w: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t>、成绩管理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（</w:t>
            </w: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5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分）</w:t>
            </w:r>
          </w:p>
        </w:tc>
        <w:tc>
          <w:tcPr>
            <w:tcW w:w="2884" w:type="dxa"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成绩录入、汇总、归档及时、准确；学生对成绩管理工作满意。</w:t>
            </w:r>
          </w:p>
        </w:tc>
        <w:tc>
          <w:tcPr>
            <w:tcW w:w="434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  <w:t>5</w:t>
            </w:r>
          </w:p>
        </w:tc>
        <w:tc>
          <w:tcPr>
            <w:tcW w:w="601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  <w:t>4</w:t>
            </w:r>
          </w:p>
        </w:tc>
        <w:tc>
          <w:tcPr>
            <w:tcW w:w="616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  <w:t>3</w:t>
            </w:r>
          </w:p>
        </w:tc>
        <w:tc>
          <w:tcPr>
            <w:tcW w:w="1792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</w:p>
        </w:tc>
        <w:tc>
          <w:tcPr>
            <w:tcW w:w="1322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</w:p>
        </w:tc>
      </w:tr>
      <w:tr w:rsidR="00EB4C6C" w:rsidRPr="006F2A4F" w:rsidTr="00F86F7E">
        <w:trPr>
          <w:trHeight w:val="2156"/>
          <w:jc w:val="center"/>
        </w:trPr>
        <w:tc>
          <w:tcPr>
            <w:tcW w:w="643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</w:p>
        </w:tc>
        <w:tc>
          <w:tcPr>
            <w:tcW w:w="1064" w:type="dxa"/>
            <w:vAlign w:val="center"/>
          </w:tcPr>
          <w:p w:rsidR="00EB4C6C" w:rsidRPr="006F2A4F" w:rsidRDefault="00EB4C6C" w:rsidP="00F86F7E">
            <w:pPr>
              <w:snapToGrid w:val="0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/>
                <w:b/>
                <w:color w:val="000000" w:themeColor="text1"/>
                <w:sz w:val="21"/>
              </w:rPr>
              <w:t>4</w:t>
            </w: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t>、学生基本理论和基本技能的培训和考核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（</w:t>
            </w: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6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分）</w:t>
            </w:r>
          </w:p>
        </w:tc>
        <w:tc>
          <w:tcPr>
            <w:tcW w:w="2884" w:type="dxa"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制定了专业基本技能标准和培训与考核措施、过程材料完备、效果好；考研率、英语等级考试累计通过率、计算机等级考试在全校排名靠前；学生获得行业职业资格证书、单项技能证书比例高。</w:t>
            </w:r>
          </w:p>
        </w:tc>
        <w:tc>
          <w:tcPr>
            <w:tcW w:w="434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  <w:t>6</w:t>
            </w:r>
          </w:p>
        </w:tc>
        <w:tc>
          <w:tcPr>
            <w:tcW w:w="601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  <w:t>4.8</w:t>
            </w:r>
          </w:p>
        </w:tc>
        <w:tc>
          <w:tcPr>
            <w:tcW w:w="616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  <w:t>3.6</w:t>
            </w:r>
          </w:p>
        </w:tc>
        <w:tc>
          <w:tcPr>
            <w:tcW w:w="1792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</w:p>
        </w:tc>
        <w:tc>
          <w:tcPr>
            <w:tcW w:w="1322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</w:p>
        </w:tc>
      </w:tr>
      <w:tr w:rsidR="00EB4C6C" w:rsidRPr="006F2A4F" w:rsidTr="00F86F7E">
        <w:trPr>
          <w:trHeight w:val="1242"/>
          <w:jc w:val="center"/>
        </w:trPr>
        <w:tc>
          <w:tcPr>
            <w:tcW w:w="643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</w:p>
        </w:tc>
        <w:tc>
          <w:tcPr>
            <w:tcW w:w="1064" w:type="dxa"/>
            <w:vAlign w:val="center"/>
          </w:tcPr>
          <w:p w:rsidR="00EB4C6C" w:rsidRPr="006F2A4F" w:rsidRDefault="00EB4C6C" w:rsidP="00F86F7E">
            <w:pPr>
              <w:snapToGrid w:val="0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/>
                <w:b/>
                <w:color w:val="000000" w:themeColor="text1"/>
                <w:sz w:val="21"/>
              </w:rPr>
              <w:t>5</w:t>
            </w: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t>、教材征订与选用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（</w:t>
            </w: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3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分）</w:t>
            </w:r>
          </w:p>
        </w:tc>
        <w:tc>
          <w:tcPr>
            <w:tcW w:w="2884" w:type="dxa"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及时、完整、准确填报教材征订计划；积极选用优秀教材、近三年新版教材。</w:t>
            </w:r>
          </w:p>
        </w:tc>
        <w:tc>
          <w:tcPr>
            <w:tcW w:w="434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  <w:t>3</w:t>
            </w:r>
          </w:p>
        </w:tc>
        <w:tc>
          <w:tcPr>
            <w:tcW w:w="601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  <w:t>2.4</w:t>
            </w:r>
          </w:p>
        </w:tc>
        <w:tc>
          <w:tcPr>
            <w:tcW w:w="616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  <w:t>1.8</w:t>
            </w:r>
          </w:p>
        </w:tc>
        <w:tc>
          <w:tcPr>
            <w:tcW w:w="1792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</w:p>
        </w:tc>
        <w:tc>
          <w:tcPr>
            <w:tcW w:w="1322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</w:p>
        </w:tc>
      </w:tr>
      <w:tr w:rsidR="00EB4C6C" w:rsidRPr="006F2A4F" w:rsidTr="00F86F7E">
        <w:trPr>
          <w:trHeight w:val="545"/>
          <w:tblHeader/>
          <w:jc w:val="center"/>
        </w:trPr>
        <w:tc>
          <w:tcPr>
            <w:tcW w:w="1707" w:type="dxa"/>
            <w:gridSpan w:val="2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评价指标</w:t>
            </w:r>
          </w:p>
        </w:tc>
        <w:tc>
          <w:tcPr>
            <w:tcW w:w="2884" w:type="dxa"/>
            <w:vMerge w:val="restart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指标内涵</w:t>
            </w:r>
          </w:p>
        </w:tc>
        <w:tc>
          <w:tcPr>
            <w:tcW w:w="1651" w:type="dxa"/>
            <w:gridSpan w:val="3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评分标准</w:t>
            </w:r>
          </w:p>
        </w:tc>
        <w:tc>
          <w:tcPr>
            <w:tcW w:w="1792" w:type="dxa"/>
            <w:vMerge w:val="restart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t>状态数据</w:t>
            </w:r>
          </w:p>
        </w:tc>
        <w:tc>
          <w:tcPr>
            <w:tcW w:w="1322" w:type="dxa"/>
            <w:vMerge w:val="restart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t>支撑材料</w:t>
            </w:r>
          </w:p>
        </w:tc>
      </w:tr>
      <w:tr w:rsidR="00EB4C6C" w:rsidRPr="006F2A4F" w:rsidTr="00F86F7E">
        <w:trPr>
          <w:trHeight w:val="545"/>
          <w:tblHeader/>
          <w:jc w:val="center"/>
        </w:trPr>
        <w:tc>
          <w:tcPr>
            <w:tcW w:w="643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一级</w:t>
            </w:r>
          </w:p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指标</w:t>
            </w:r>
          </w:p>
        </w:tc>
        <w:tc>
          <w:tcPr>
            <w:tcW w:w="1064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二级</w:t>
            </w:r>
          </w:p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指标</w:t>
            </w:r>
          </w:p>
        </w:tc>
        <w:tc>
          <w:tcPr>
            <w:tcW w:w="2884" w:type="dxa"/>
            <w:vMerge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</w:p>
        </w:tc>
        <w:tc>
          <w:tcPr>
            <w:tcW w:w="434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b/>
                <w:bCs/>
                <w:color w:val="000000" w:themeColor="text1"/>
                <w:kern w:val="22"/>
                <w:sz w:val="21"/>
              </w:rPr>
              <w:t>A</w:t>
            </w:r>
          </w:p>
        </w:tc>
        <w:tc>
          <w:tcPr>
            <w:tcW w:w="601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b/>
                <w:bCs/>
                <w:color w:val="000000" w:themeColor="text1"/>
                <w:kern w:val="22"/>
                <w:sz w:val="21"/>
              </w:rPr>
              <w:t>B</w:t>
            </w:r>
          </w:p>
        </w:tc>
        <w:tc>
          <w:tcPr>
            <w:tcW w:w="616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b/>
                <w:bCs/>
                <w:color w:val="000000" w:themeColor="text1"/>
                <w:kern w:val="22"/>
                <w:sz w:val="21"/>
              </w:rPr>
              <w:t>C</w:t>
            </w:r>
          </w:p>
        </w:tc>
        <w:tc>
          <w:tcPr>
            <w:tcW w:w="1792" w:type="dxa"/>
            <w:vMerge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</w:p>
        </w:tc>
        <w:tc>
          <w:tcPr>
            <w:tcW w:w="1322" w:type="dxa"/>
            <w:vMerge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</w:p>
        </w:tc>
      </w:tr>
      <w:tr w:rsidR="00EB4C6C" w:rsidRPr="006F2A4F" w:rsidTr="00F86F7E">
        <w:trPr>
          <w:trHeight w:val="1554"/>
          <w:jc w:val="center"/>
        </w:trPr>
        <w:tc>
          <w:tcPr>
            <w:tcW w:w="643" w:type="dxa"/>
            <w:vAlign w:val="center"/>
          </w:tcPr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lastRenderedPageBreak/>
              <w:t>三、</w:t>
            </w:r>
          </w:p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t>学籍</w:t>
            </w:r>
          </w:p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t>管理</w:t>
            </w:r>
          </w:p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  <w:t>5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kern w:val="22"/>
                <w:sz w:val="21"/>
              </w:rPr>
              <w:t>分</w:t>
            </w:r>
          </w:p>
        </w:tc>
        <w:tc>
          <w:tcPr>
            <w:tcW w:w="1064" w:type="dxa"/>
            <w:vAlign w:val="center"/>
          </w:tcPr>
          <w:p w:rsidR="00EB4C6C" w:rsidRPr="006F2A4F" w:rsidRDefault="00EB4C6C" w:rsidP="00F86F7E">
            <w:pPr>
              <w:snapToGrid w:val="0"/>
              <w:rPr>
                <w:rFonts w:ascii="宋体" w:eastAsia="宋体" w:hAnsi="Calibri" w:cs="Times New Roman" w:hint="eastAsia"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t>学籍管理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（</w:t>
            </w: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5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分）</w:t>
            </w:r>
          </w:p>
        </w:tc>
        <w:tc>
          <w:tcPr>
            <w:tcW w:w="2884" w:type="dxa"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工作规范，在入学注册、转专业与转学、休学、停学、复学、退学、奖励与处分、毕业和毕业资格、学位授予资格审查等方面均能严格按照学籍管理规定和程序办理，能督促学生核对学籍信息、及时修改完善学籍信息，并能配合教务处准确做好学籍档案登载，归档完备。</w:t>
            </w:r>
          </w:p>
        </w:tc>
        <w:tc>
          <w:tcPr>
            <w:tcW w:w="434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  <w:t>5</w:t>
            </w:r>
          </w:p>
        </w:tc>
        <w:tc>
          <w:tcPr>
            <w:tcW w:w="601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  <w:t>4</w:t>
            </w:r>
          </w:p>
        </w:tc>
        <w:tc>
          <w:tcPr>
            <w:tcW w:w="616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  <w:t>3</w:t>
            </w:r>
          </w:p>
        </w:tc>
        <w:tc>
          <w:tcPr>
            <w:tcW w:w="1792" w:type="dxa"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学籍信息的准确率、学年学籍异动人数。</w:t>
            </w:r>
          </w:p>
        </w:tc>
        <w:tc>
          <w:tcPr>
            <w:tcW w:w="1322" w:type="dxa"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学籍表、学年学籍异动汇总表（统计表）。</w:t>
            </w:r>
          </w:p>
        </w:tc>
      </w:tr>
      <w:tr w:rsidR="00EB4C6C" w:rsidRPr="006F2A4F" w:rsidTr="00F86F7E">
        <w:trPr>
          <w:trHeight w:val="2295"/>
          <w:jc w:val="center"/>
        </w:trPr>
        <w:tc>
          <w:tcPr>
            <w:tcW w:w="643" w:type="dxa"/>
            <w:vMerge w:val="restart"/>
            <w:vAlign w:val="center"/>
          </w:tcPr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t>四、</w:t>
            </w:r>
          </w:p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t>教学</w:t>
            </w:r>
          </w:p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t>建设</w:t>
            </w:r>
          </w:p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t>与</w:t>
            </w:r>
          </w:p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t>改革</w:t>
            </w:r>
          </w:p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  <w:t>30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kern w:val="22"/>
                <w:sz w:val="21"/>
              </w:rPr>
              <w:t>分</w:t>
            </w:r>
          </w:p>
        </w:tc>
        <w:tc>
          <w:tcPr>
            <w:tcW w:w="1064" w:type="dxa"/>
            <w:vAlign w:val="center"/>
          </w:tcPr>
          <w:p w:rsidR="00EB4C6C" w:rsidRPr="006F2A4F" w:rsidRDefault="00EB4C6C" w:rsidP="00F86F7E">
            <w:pPr>
              <w:snapToGrid w:val="0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/>
                <w:b/>
                <w:color w:val="000000" w:themeColor="text1"/>
                <w:sz w:val="21"/>
              </w:rPr>
              <w:t>1</w:t>
            </w: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t>、培养方案管理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（</w:t>
            </w: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3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分）</w:t>
            </w:r>
          </w:p>
        </w:tc>
        <w:tc>
          <w:tcPr>
            <w:tcW w:w="2884" w:type="dxa"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能贯彻落实学校培养方案指导性意见，制</w:t>
            </w: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(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修</w:t>
            </w: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)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订科学，人才培养目标与规格定位准确；课程结构科学、合理，课程体系明确，符合培养目标与规格定位，具有专业特色，课程计划相对稳定，执行严格；能根据学科专业最新发展状况，遵循市场就业导向，分类针对性培养；每专业每学年能严格按照培养方案按时、准确地下达和落实教学任务。</w:t>
            </w:r>
          </w:p>
        </w:tc>
        <w:tc>
          <w:tcPr>
            <w:tcW w:w="434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  <w:t>3</w:t>
            </w:r>
          </w:p>
        </w:tc>
        <w:tc>
          <w:tcPr>
            <w:tcW w:w="601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  <w:t>2.4</w:t>
            </w:r>
          </w:p>
        </w:tc>
        <w:tc>
          <w:tcPr>
            <w:tcW w:w="616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  <w:t>1.8</w:t>
            </w:r>
          </w:p>
        </w:tc>
        <w:tc>
          <w:tcPr>
            <w:tcW w:w="1792" w:type="dxa"/>
            <w:vMerge w:val="restart"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388"/>
              <w:rPr>
                <w:rFonts w:ascii="宋体" w:eastAsia="宋体" w:hAnsi="Calibri" w:cs="Times New Roman" w:hint="eastAsia"/>
                <w:color w:val="000000" w:themeColor="text1"/>
                <w:spacing w:val="-8"/>
                <w:kern w:val="22"/>
                <w:sz w:val="21"/>
              </w:rPr>
            </w:pPr>
            <w:r w:rsidRPr="006F2A4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 w:val="21"/>
              </w:rPr>
              <w:t>国家、省、校级特色</w:t>
            </w:r>
            <w:r w:rsidRPr="006F2A4F"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 w:val="21"/>
              </w:rPr>
              <w:t xml:space="preserve"> (</w:t>
            </w:r>
            <w:r w:rsidRPr="006F2A4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 w:val="21"/>
              </w:rPr>
              <w:t>重点</w:t>
            </w:r>
            <w:r w:rsidRPr="006F2A4F"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 w:val="21"/>
              </w:rPr>
              <w:t>)</w:t>
            </w:r>
            <w:r w:rsidRPr="006F2A4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 w:val="21"/>
              </w:rPr>
              <w:t>专业数、专业综合改革试点项目数、卓越计划项目数、精品</w:t>
            </w:r>
            <w:r w:rsidRPr="006F2A4F"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 w:val="21"/>
              </w:rPr>
              <w:t>(</w:t>
            </w:r>
            <w:r w:rsidRPr="006F2A4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 w:val="21"/>
              </w:rPr>
              <w:t>优质</w:t>
            </w:r>
            <w:r w:rsidRPr="006F2A4F"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 w:val="21"/>
              </w:rPr>
              <w:t>)</w:t>
            </w:r>
            <w:r w:rsidRPr="006F2A4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 w:val="21"/>
              </w:rPr>
              <w:t>课程门数、精品资源共享课数、视频公开课数、双语示范课程门数、教学团队及优秀教学团队数、教学名师人数、人才培养创新实验区数、教学成果奖获奖情况、自编教材数、优秀教材获奖、优秀多媒体课件获奖情况、实验教学示范中心数等；本专科专业数和招生专业数、具有学士学位授权专业数；课程开设总门次数、双语教学课程门数；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pacing w:val="-8"/>
                <w:sz w:val="21"/>
              </w:rPr>
              <w:t>教师发表教改论文数量、教改课题立项项目数、结题项目数；师资队伍及教学团队建设、专业建设、课程建设经费投入数；参加学术交流人次数及占总教师数的比例。</w:t>
            </w:r>
          </w:p>
        </w:tc>
        <w:tc>
          <w:tcPr>
            <w:tcW w:w="1322" w:type="dxa"/>
            <w:vMerge w:val="restart"/>
            <w:vAlign w:val="center"/>
          </w:tcPr>
          <w:p w:rsidR="00EB4C6C" w:rsidRPr="006F2A4F" w:rsidRDefault="00EB4C6C" w:rsidP="00F86F7E">
            <w:pPr>
              <w:snapToGrid w:val="0"/>
              <w:ind w:firstLineChars="150" w:firstLine="315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专业培养方案、教学任务安排表、教学计划变更表、课程教学大纲、专业建设规划、专业招生就业情况汇总表、课程建设规划、教材建设规划、师资队伍及教学团队建设规划、开展教学竞赛和示范教学材料、专业负责人和课程负责人名册、师资队伍及教学团队建设、专业建设、课程建设经费使用情况等。</w:t>
            </w:r>
          </w:p>
        </w:tc>
      </w:tr>
      <w:tr w:rsidR="00EB4C6C" w:rsidRPr="006F2A4F" w:rsidTr="00F86F7E">
        <w:trPr>
          <w:trHeight w:val="454"/>
          <w:jc w:val="center"/>
        </w:trPr>
        <w:tc>
          <w:tcPr>
            <w:tcW w:w="643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Times New Roman" w:hint="eastAsia"/>
                <w:color w:val="000000" w:themeColor="text1"/>
                <w:sz w:val="21"/>
              </w:rPr>
            </w:pPr>
          </w:p>
        </w:tc>
        <w:tc>
          <w:tcPr>
            <w:tcW w:w="1064" w:type="dxa"/>
            <w:vAlign w:val="center"/>
          </w:tcPr>
          <w:p w:rsidR="00EB4C6C" w:rsidRPr="006F2A4F" w:rsidRDefault="00EB4C6C" w:rsidP="00F86F7E">
            <w:pPr>
              <w:snapToGrid w:val="0"/>
              <w:rPr>
                <w:rFonts w:ascii="宋体" w:eastAsia="宋体" w:hAnsi="Calibri" w:cs="宋体" w:hint="eastAsia"/>
                <w:b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b/>
                <w:color w:val="000000" w:themeColor="text1"/>
                <w:kern w:val="0"/>
                <w:sz w:val="21"/>
              </w:rPr>
              <w:t>2</w:t>
            </w:r>
            <w:r w:rsidRPr="006F2A4F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1"/>
              </w:rPr>
              <w:t>、课程教学大纲管理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（</w:t>
            </w: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3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分）</w:t>
            </w:r>
          </w:p>
        </w:tc>
        <w:tc>
          <w:tcPr>
            <w:tcW w:w="2884" w:type="dxa"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教学计划中各课程均有完整、规范的教学大纲</w:t>
            </w:r>
            <w:r w:rsidRPr="006F2A4F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（也可使用教育部制订的或推荐教材相应的教学大纲）；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符合人才培养目标要求，并能根据人才培养需要及时完善教学大纲，能将教改、教研成果或学科最新发展成果引入教学，课程内容的基础性与先进性，经典与现代的关系处理得当；本课程与相关课程内容关系处理得当；</w:t>
            </w:r>
            <w:r w:rsidRPr="006F2A4F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在教学过程中能严格执行教学大纲。</w:t>
            </w:r>
          </w:p>
        </w:tc>
        <w:tc>
          <w:tcPr>
            <w:tcW w:w="434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  <w:t>3</w:t>
            </w:r>
          </w:p>
        </w:tc>
        <w:tc>
          <w:tcPr>
            <w:tcW w:w="601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  <w:t>2.4</w:t>
            </w:r>
          </w:p>
        </w:tc>
        <w:tc>
          <w:tcPr>
            <w:tcW w:w="616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  <w:t>1.8</w:t>
            </w:r>
          </w:p>
        </w:tc>
        <w:tc>
          <w:tcPr>
            <w:tcW w:w="1792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</w:p>
        </w:tc>
        <w:tc>
          <w:tcPr>
            <w:tcW w:w="1322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</w:p>
        </w:tc>
      </w:tr>
      <w:tr w:rsidR="00EB4C6C" w:rsidRPr="006F2A4F" w:rsidTr="00F86F7E">
        <w:trPr>
          <w:trHeight w:val="1967"/>
          <w:jc w:val="center"/>
        </w:trPr>
        <w:tc>
          <w:tcPr>
            <w:tcW w:w="643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Times New Roman" w:hint="eastAsia"/>
                <w:color w:val="000000" w:themeColor="text1"/>
                <w:sz w:val="21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EB4C6C" w:rsidRPr="006F2A4F" w:rsidRDefault="00EB4C6C" w:rsidP="00F86F7E">
            <w:pPr>
              <w:snapToGrid w:val="0"/>
              <w:rPr>
                <w:rFonts w:ascii="宋体" w:eastAsia="宋体" w:hAnsi="Calibri" w:cs="宋体" w:hint="eastAsia"/>
                <w:b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b/>
                <w:color w:val="000000" w:themeColor="text1"/>
                <w:kern w:val="0"/>
                <w:sz w:val="21"/>
              </w:rPr>
              <w:t>3</w:t>
            </w:r>
            <w:r w:rsidRPr="006F2A4F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1"/>
              </w:rPr>
              <w:t>、专业建设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（</w:t>
            </w: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6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分）</w:t>
            </w:r>
          </w:p>
        </w:tc>
        <w:tc>
          <w:tcPr>
            <w:tcW w:w="2884" w:type="dxa"/>
            <w:tcBorders>
              <w:bottom w:val="single" w:sz="4" w:space="0" w:color="auto"/>
            </w:tcBorders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宋体" w:hint="eastAsia"/>
                <w:b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每个专业均配备有专业负责人，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有切实可行的专业建设规划，人才培养目标明确，有特色，能优化专业结构，注重对传统专业的改造，</w:t>
            </w:r>
            <w:r w:rsidRPr="006F2A4F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适度发展新兴交叉边缘学科专业；能确保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专业经费投入到位，专业的办学条件符合培养目标的要求，专业建设成效显著。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6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4.8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3.6</w:t>
            </w:r>
          </w:p>
        </w:tc>
        <w:tc>
          <w:tcPr>
            <w:tcW w:w="1792" w:type="dxa"/>
            <w:vMerge/>
            <w:tcBorders>
              <w:bottom w:val="single" w:sz="4" w:space="0" w:color="auto"/>
            </w:tcBorders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</w:p>
        </w:tc>
        <w:tc>
          <w:tcPr>
            <w:tcW w:w="1322" w:type="dxa"/>
            <w:vMerge/>
            <w:tcBorders>
              <w:bottom w:val="single" w:sz="4" w:space="0" w:color="auto"/>
            </w:tcBorders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</w:p>
        </w:tc>
      </w:tr>
      <w:tr w:rsidR="00EB4C6C" w:rsidRPr="006F2A4F" w:rsidTr="00F86F7E">
        <w:trPr>
          <w:trHeight w:val="545"/>
          <w:tblHeader/>
          <w:jc w:val="center"/>
        </w:trPr>
        <w:tc>
          <w:tcPr>
            <w:tcW w:w="1707" w:type="dxa"/>
            <w:gridSpan w:val="2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评价指标</w:t>
            </w:r>
          </w:p>
        </w:tc>
        <w:tc>
          <w:tcPr>
            <w:tcW w:w="2884" w:type="dxa"/>
            <w:vMerge w:val="restart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指标内涵</w:t>
            </w:r>
          </w:p>
        </w:tc>
        <w:tc>
          <w:tcPr>
            <w:tcW w:w="1651" w:type="dxa"/>
            <w:gridSpan w:val="3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评分标准</w:t>
            </w:r>
          </w:p>
        </w:tc>
        <w:tc>
          <w:tcPr>
            <w:tcW w:w="1792" w:type="dxa"/>
            <w:vMerge w:val="restart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t>状态数据</w:t>
            </w:r>
          </w:p>
        </w:tc>
        <w:tc>
          <w:tcPr>
            <w:tcW w:w="1322" w:type="dxa"/>
            <w:vMerge w:val="restart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t>支撑材料</w:t>
            </w:r>
          </w:p>
        </w:tc>
      </w:tr>
      <w:tr w:rsidR="00EB4C6C" w:rsidRPr="006F2A4F" w:rsidTr="00F86F7E">
        <w:trPr>
          <w:trHeight w:val="545"/>
          <w:tblHeader/>
          <w:jc w:val="center"/>
        </w:trPr>
        <w:tc>
          <w:tcPr>
            <w:tcW w:w="643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一级</w:t>
            </w:r>
          </w:p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指标</w:t>
            </w:r>
          </w:p>
        </w:tc>
        <w:tc>
          <w:tcPr>
            <w:tcW w:w="1064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二级</w:t>
            </w:r>
          </w:p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指标</w:t>
            </w:r>
          </w:p>
        </w:tc>
        <w:tc>
          <w:tcPr>
            <w:tcW w:w="2884" w:type="dxa"/>
            <w:vMerge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</w:p>
        </w:tc>
        <w:tc>
          <w:tcPr>
            <w:tcW w:w="434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b/>
                <w:bCs/>
                <w:color w:val="000000" w:themeColor="text1"/>
                <w:kern w:val="22"/>
                <w:sz w:val="21"/>
              </w:rPr>
              <w:t>A</w:t>
            </w:r>
          </w:p>
        </w:tc>
        <w:tc>
          <w:tcPr>
            <w:tcW w:w="601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b/>
                <w:bCs/>
                <w:color w:val="000000" w:themeColor="text1"/>
                <w:kern w:val="22"/>
                <w:sz w:val="21"/>
              </w:rPr>
              <w:t>B</w:t>
            </w:r>
          </w:p>
        </w:tc>
        <w:tc>
          <w:tcPr>
            <w:tcW w:w="616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b/>
                <w:bCs/>
                <w:color w:val="000000" w:themeColor="text1"/>
                <w:kern w:val="22"/>
                <w:sz w:val="21"/>
              </w:rPr>
              <w:t>C</w:t>
            </w:r>
          </w:p>
        </w:tc>
        <w:tc>
          <w:tcPr>
            <w:tcW w:w="1792" w:type="dxa"/>
            <w:vMerge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</w:p>
        </w:tc>
        <w:tc>
          <w:tcPr>
            <w:tcW w:w="1322" w:type="dxa"/>
            <w:vMerge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</w:p>
        </w:tc>
      </w:tr>
      <w:tr w:rsidR="00EB4C6C" w:rsidRPr="006F2A4F" w:rsidTr="00F86F7E">
        <w:trPr>
          <w:trHeight w:val="6028"/>
          <w:jc w:val="center"/>
        </w:trPr>
        <w:tc>
          <w:tcPr>
            <w:tcW w:w="643" w:type="dxa"/>
            <w:vMerge w:val="restart"/>
            <w:tcBorders>
              <w:right w:val="single" w:sz="4" w:space="0" w:color="auto"/>
            </w:tcBorders>
            <w:vAlign w:val="center"/>
          </w:tcPr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Times New Roman" w:hint="eastAsia"/>
                <w:color w:val="000000" w:themeColor="text1"/>
                <w:sz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6C" w:rsidRPr="006F2A4F" w:rsidRDefault="00EB4C6C" w:rsidP="00F86F7E">
            <w:pPr>
              <w:snapToGrid w:val="0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/>
                <w:b/>
                <w:color w:val="000000" w:themeColor="text1"/>
                <w:sz w:val="21"/>
              </w:rPr>
              <w:t>4</w:t>
            </w: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t>、课程建设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（</w:t>
            </w: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6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分）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宋体" w:hint="eastAsia"/>
                <w:b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每门课程均配备了具有较高教学业务水平的负责人，有与专业建设相匹配的课程建设规划，课程建设措施得力，效果明显，课程建设有很强的连续性；主要基础课、专业主干课中课程负责人制度执行好，校级以上重点课程、精品课程、精品资源共享课和视频公开课的比例高，且立项项目建设效果好；建立了教学内容更新机制，课程体系建设总体思路清晰，课程库资源丰富。各专业课程设置符合人才培养目标要求，体现多学科综合与交叉特征，有利于多种模式培养人才，各类选修课程充分满足学生自主选择的要求；有实施双语教学的激励措施和政策，教材选用得当、教学效果好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4.8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3.6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</w:p>
        </w:tc>
      </w:tr>
      <w:tr w:rsidR="00EB4C6C" w:rsidRPr="006F2A4F" w:rsidTr="00F86F7E">
        <w:trPr>
          <w:trHeight w:val="1876"/>
          <w:jc w:val="center"/>
        </w:trPr>
        <w:tc>
          <w:tcPr>
            <w:tcW w:w="643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Times New Roman" w:hint="eastAsia"/>
                <w:color w:val="000000" w:themeColor="text1"/>
                <w:sz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EB4C6C" w:rsidRPr="006F2A4F" w:rsidRDefault="00EB4C6C" w:rsidP="00F86F7E">
            <w:pPr>
              <w:snapToGrid w:val="0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/>
                <w:b/>
                <w:color w:val="000000" w:themeColor="text1"/>
                <w:sz w:val="21"/>
              </w:rPr>
              <w:t>5</w:t>
            </w: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t>、教育教学改革与研究成果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（</w:t>
            </w: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5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分）</w:t>
            </w:r>
          </w:p>
        </w:tc>
        <w:tc>
          <w:tcPr>
            <w:tcW w:w="2884" w:type="dxa"/>
            <w:tcBorders>
              <w:top w:val="single" w:sz="4" w:space="0" w:color="auto"/>
            </w:tcBorders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宋体" w:hint="eastAsia"/>
                <w:b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教师发表教改论文积极，教学改革立项项目多、级别高，并能按期完成；注重教育教学研究成果的推广和应用，积极改革教学方法、教学手段和人才培养模式，成效显著。</w:t>
            </w:r>
          </w:p>
        </w:tc>
        <w:tc>
          <w:tcPr>
            <w:tcW w:w="434" w:type="dxa"/>
            <w:tcBorders>
              <w:top w:val="single" w:sz="4" w:space="0" w:color="auto"/>
            </w:tcBorders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3</w:t>
            </w:r>
          </w:p>
        </w:tc>
        <w:tc>
          <w:tcPr>
            <w:tcW w:w="1792" w:type="dxa"/>
            <w:vMerge/>
            <w:tcBorders>
              <w:top w:val="single" w:sz="4" w:space="0" w:color="auto"/>
            </w:tcBorders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</w:tcBorders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</w:p>
        </w:tc>
      </w:tr>
      <w:tr w:rsidR="00EB4C6C" w:rsidRPr="006F2A4F" w:rsidTr="00F86F7E">
        <w:trPr>
          <w:trHeight w:val="1611"/>
          <w:jc w:val="center"/>
        </w:trPr>
        <w:tc>
          <w:tcPr>
            <w:tcW w:w="643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Times New Roman" w:hint="eastAsia"/>
                <w:color w:val="000000" w:themeColor="text1"/>
                <w:sz w:val="21"/>
              </w:rPr>
            </w:pPr>
          </w:p>
        </w:tc>
        <w:tc>
          <w:tcPr>
            <w:tcW w:w="1064" w:type="dxa"/>
            <w:vAlign w:val="center"/>
          </w:tcPr>
          <w:p w:rsidR="00EB4C6C" w:rsidRPr="006F2A4F" w:rsidRDefault="00EB4C6C" w:rsidP="00F86F7E">
            <w:pPr>
              <w:snapToGrid w:val="0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/>
                <w:b/>
                <w:color w:val="000000" w:themeColor="text1"/>
                <w:sz w:val="21"/>
              </w:rPr>
              <w:t>6</w:t>
            </w: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t>、教材建设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（</w:t>
            </w: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2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分）</w:t>
            </w:r>
          </w:p>
        </w:tc>
        <w:tc>
          <w:tcPr>
            <w:tcW w:w="2884" w:type="dxa"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宋体" w:hint="eastAsia"/>
                <w:b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教材建设发展规划严格；教材建设项目的申报、优秀教材评选材料的准备及时充分；教师编写的积极性高，教材建设成效显著。</w:t>
            </w:r>
          </w:p>
        </w:tc>
        <w:tc>
          <w:tcPr>
            <w:tcW w:w="434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2</w:t>
            </w:r>
          </w:p>
        </w:tc>
        <w:tc>
          <w:tcPr>
            <w:tcW w:w="601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1.6</w:t>
            </w:r>
          </w:p>
        </w:tc>
        <w:tc>
          <w:tcPr>
            <w:tcW w:w="616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1.2</w:t>
            </w:r>
          </w:p>
        </w:tc>
        <w:tc>
          <w:tcPr>
            <w:tcW w:w="1792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</w:p>
        </w:tc>
        <w:tc>
          <w:tcPr>
            <w:tcW w:w="1322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</w:p>
        </w:tc>
      </w:tr>
      <w:tr w:rsidR="00EB4C6C" w:rsidRPr="006F2A4F" w:rsidTr="00F86F7E">
        <w:trPr>
          <w:trHeight w:val="2324"/>
          <w:jc w:val="center"/>
        </w:trPr>
        <w:tc>
          <w:tcPr>
            <w:tcW w:w="643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Times New Roman" w:hint="eastAsia"/>
                <w:color w:val="000000" w:themeColor="text1"/>
                <w:sz w:val="21"/>
              </w:rPr>
            </w:pPr>
          </w:p>
        </w:tc>
        <w:tc>
          <w:tcPr>
            <w:tcW w:w="1064" w:type="dxa"/>
            <w:vAlign w:val="center"/>
          </w:tcPr>
          <w:p w:rsidR="00EB4C6C" w:rsidRPr="006F2A4F" w:rsidRDefault="00EB4C6C" w:rsidP="00F86F7E">
            <w:pPr>
              <w:snapToGrid w:val="0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/>
                <w:b/>
                <w:color w:val="000000" w:themeColor="text1"/>
                <w:sz w:val="21"/>
              </w:rPr>
              <w:t>7</w:t>
            </w: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t>、师资队伍与教学团队建设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（</w:t>
            </w: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5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分）</w:t>
            </w:r>
          </w:p>
        </w:tc>
        <w:tc>
          <w:tcPr>
            <w:tcW w:w="2884" w:type="dxa"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宋体" w:hint="eastAsia"/>
                <w:b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重视师资队伍建设，注重培养高层次教学名师和教学团队。青年教师培养措施得力，教学梯队建设成效显著。建立了多个教学团队，经常开展教学团队教研活动。加强学术交流，积极开展教学竞赛和示范教学活动。</w:t>
            </w:r>
          </w:p>
        </w:tc>
        <w:tc>
          <w:tcPr>
            <w:tcW w:w="434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5</w:t>
            </w:r>
          </w:p>
        </w:tc>
        <w:tc>
          <w:tcPr>
            <w:tcW w:w="601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4</w:t>
            </w:r>
          </w:p>
        </w:tc>
        <w:tc>
          <w:tcPr>
            <w:tcW w:w="616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3</w:t>
            </w:r>
          </w:p>
        </w:tc>
        <w:tc>
          <w:tcPr>
            <w:tcW w:w="1792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</w:p>
        </w:tc>
        <w:tc>
          <w:tcPr>
            <w:tcW w:w="1322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</w:p>
        </w:tc>
      </w:tr>
      <w:tr w:rsidR="00EB4C6C" w:rsidRPr="006F2A4F" w:rsidTr="00F86F7E">
        <w:trPr>
          <w:trHeight w:val="545"/>
          <w:tblHeader/>
          <w:jc w:val="center"/>
        </w:trPr>
        <w:tc>
          <w:tcPr>
            <w:tcW w:w="1707" w:type="dxa"/>
            <w:gridSpan w:val="2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评价指标</w:t>
            </w:r>
          </w:p>
        </w:tc>
        <w:tc>
          <w:tcPr>
            <w:tcW w:w="2884" w:type="dxa"/>
            <w:vMerge w:val="restart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指标内涵</w:t>
            </w:r>
          </w:p>
        </w:tc>
        <w:tc>
          <w:tcPr>
            <w:tcW w:w="1651" w:type="dxa"/>
            <w:gridSpan w:val="3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评分标准</w:t>
            </w:r>
          </w:p>
        </w:tc>
        <w:tc>
          <w:tcPr>
            <w:tcW w:w="1792" w:type="dxa"/>
            <w:vMerge w:val="restart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t>状态数据</w:t>
            </w:r>
          </w:p>
        </w:tc>
        <w:tc>
          <w:tcPr>
            <w:tcW w:w="1322" w:type="dxa"/>
            <w:vMerge w:val="restart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t>支撑材料</w:t>
            </w:r>
          </w:p>
        </w:tc>
      </w:tr>
      <w:tr w:rsidR="00EB4C6C" w:rsidRPr="006F2A4F" w:rsidTr="00F86F7E">
        <w:trPr>
          <w:trHeight w:val="545"/>
          <w:tblHeader/>
          <w:jc w:val="center"/>
        </w:trPr>
        <w:tc>
          <w:tcPr>
            <w:tcW w:w="643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一级</w:t>
            </w:r>
          </w:p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指标</w:t>
            </w:r>
          </w:p>
        </w:tc>
        <w:tc>
          <w:tcPr>
            <w:tcW w:w="1064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二级</w:t>
            </w:r>
          </w:p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指标</w:t>
            </w:r>
          </w:p>
        </w:tc>
        <w:tc>
          <w:tcPr>
            <w:tcW w:w="2884" w:type="dxa"/>
            <w:vMerge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</w:p>
        </w:tc>
        <w:tc>
          <w:tcPr>
            <w:tcW w:w="434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b/>
                <w:bCs/>
                <w:color w:val="000000" w:themeColor="text1"/>
                <w:kern w:val="22"/>
                <w:sz w:val="21"/>
              </w:rPr>
              <w:t>A</w:t>
            </w:r>
          </w:p>
        </w:tc>
        <w:tc>
          <w:tcPr>
            <w:tcW w:w="601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b/>
                <w:bCs/>
                <w:color w:val="000000" w:themeColor="text1"/>
                <w:kern w:val="22"/>
                <w:sz w:val="21"/>
              </w:rPr>
              <w:t>B</w:t>
            </w:r>
          </w:p>
        </w:tc>
        <w:tc>
          <w:tcPr>
            <w:tcW w:w="616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b/>
                <w:bCs/>
                <w:color w:val="000000" w:themeColor="text1"/>
                <w:kern w:val="22"/>
                <w:sz w:val="21"/>
              </w:rPr>
              <w:t>C</w:t>
            </w:r>
          </w:p>
        </w:tc>
        <w:tc>
          <w:tcPr>
            <w:tcW w:w="1792" w:type="dxa"/>
            <w:vMerge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</w:p>
        </w:tc>
        <w:tc>
          <w:tcPr>
            <w:tcW w:w="1322" w:type="dxa"/>
            <w:vMerge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</w:p>
        </w:tc>
      </w:tr>
      <w:tr w:rsidR="00EB4C6C" w:rsidRPr="006F2A4F" w:rsidTr="00F86F7E">
        <w:trPr>
          <w:trHeight w:val="3540"/>
          <w:jc w:val="center"/>
        </w:trPr>
        <w:tc>
          <w:tcPr>
            <w:tcW w:w="643" w:type="dxa"/>
            <w:vMerge w:val="restart"/>
            <w:vAlign w:val="center"/>
          </w:tcPr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lastRenderedPageBreak/>
              <w:t>五、</w:t>
            </w:r>
          </w:p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t>实践</w:t>
            </w:r>
          </w:p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t>教学</w:t>
            </w:r>
          </w:p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t>管理</w:t>
            </w:r>
          </w:p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Times New Roman" w:hint="eastAsia"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/>
                <w:color w:val="000000" w:themeColor="text1"/>
                <w:kern w:val="22"/>
                <w:sz w:val="21"/>
              </w:rPr>
              <w:t>15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kern w:val="22"/>
                <w:sz w:val="21"/>
              </w:rPr>
              <w:t>分</w:t>
            </w:r>
          </w:p>
        </w:tc>
        <w:tc>
          <w:tcPr>
            <w:tcW w:w="1064" w:type="dxa"/>
            <w:vAlign w:val="center"/>
          </w:tcPr>
          <w:p w:rsidR="00EB4C6C" w:rsidRPr="006F2A4F" w:rsidRDefault="00EB4C6C" w:rsidP="00F86F7E">
            <w:pPr>
              <w:snapToGrid w:val="0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/>
                <w:b/>
                <w:color w:val="000000" w:themeColor="text1"/>
                <w:sz w:val="21"/>
              </w:rPr>
              <w:t>1</w:t>
            </w: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t>、实习与实训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（</w:t>
            </w: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5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分）</w:t>
            </w:r>
          </w:p>
        </w:tc>
        <w:tc>
          <w:tcPr>
            <w:tcW w:w="2884" w:type="dxa"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宋体" w:hint="eastAsia"/>
                <w:b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认真执行学校有关实习与实训的各项规章制度，制定科学、完善的实习与实训计划和实施细则，强化实习实训工作的有效管理；严格执行培养方案，实习、实训大纲和实验指导书完备，编写规范，实践教学内容与体系设计科学合理，学生较早参加科研和创新活动；实习基地建设规范，布局合理，</w:t>
            </w: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 xml:space="preserve"> 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能满足教学需要（</w:t>
            </w: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1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分）。</w:t>
            </w:r>
          </w:p>
        </w:tc>
        <w:tc>
          <w:tcPr>
            <w:tcW w:w="434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5</w:t>
            </w:r>
          </w:p>
        </w:tc>
        <w:tc>
          <w:tcPr>
            <w:tcW w:w="601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4</w:t>
            </w:r>
          </w:p>
        </w:tc>
        <w:tc>
          <w:tcPr>
            <w:tcW w:w="616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3</w:t>
            </w:r>
          </w:p>
        </w:tc>
        <w:tc>
          <w:tcPr>
            <w:tcW w:w="1792" w:type="dxa"/>
            <w:vMerge w:val="restart"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实习实训基地个数；学生参加科研和创新活动获奖情况；实验室数量、设备使用率、开放实验室数、实验项目开出率、有综合性、设计性实验的课程占有实验课程总数的比例、开放性实验项目数；毕业论文（设计）总数、优秀毕业论文（设计）篇数、毕业论文（设计）指导老师数；</w:t>
            </w:r>
            <w:r w:rsidRPr="006F2A4F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学生学科专业竞赛获奖情况。</w:t>
            </w:r>
          </w:p>
        </w:tc>
        <w:tc>
          <w:tcPr>
            <w:tcW w:w="1322" w:type="dxa"/>
            <w:vMerge w:val="restart"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有关实验室管理、实验教学、实习与实训的规章制度、实习与实训计划、实习、实训大纲、实验指导书、实习实训基地情况汇总表、实验教学大纲、实验室设置情况汇总表、设备账物卡登记表、实验室使用及实验教学记录本（表）、实践教学队伍名册、实验计划项目及开出情况汇总表、毕业设计</w:t>
            </w: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(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论文</w:t>
            </w: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)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选题、指导教师、成绩等情况汇总表及过程管理材料、毕业生毕业论文（设计）、学科专业竞赛有关材料等。</w:t>
            </w:r>
          </w:p>
        </w:tc>
      </w:tr>
      <w:tr w:rsidR="00EB4C6C" w:rsidRPr="006F2A4F" w:rsidTr="00F86F7E">
        <w:trPr>
          <w:trHeight w:val="4252"/>
          <w:jc w:val="center"/>
        </w:trPr>
        <w:tc>
          <w:tcPr>
            <w:tcW w:w="643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</w:p>
        </w:tc>
        <w:tc>
          <w:tcPr>
            <w:tcW w:w="1064" w:type="dxa"/>
            <w:vAlign w:val="center"/>
          </w:tcPr>
          <w:p w:rsidR="00EB4C6C" w:rsidRPr="006F2A4F" w:rsidRDefault="00EB4C6C" w:rsidP="00F86F7E">
            <w:pPr>
              <w:snapToGrid w:val="0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/>
                <w:b/>
                <w:color w:val="000000" w:themeColor="text1"/>
                <w:sz w:val="21"/>
              </w:rPr>
              <w:t>2</w:t>
            </w: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t>、实验教学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（</w:t>
            </w: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5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分）</w:t>
            </w:r>
          </w:p>
        </w:tc>
        <w:tc>
          <w:tcPr>
            <w:tcW w:w="2884" w:type="dxa"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宋体" w:hint="eastAsia"/>
                <w:b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认真执行学校有关实验教学的各项规章制度，相关记录完整，能及时准确提供“高等学校实验室信息统计”相关信息；实验室能满足人才培养目标的需要，布局科学合理，并能按实验教学大纲规定项目开出实验，综合性、设计性实验项目比例较高，教学效果好，实验报告管理规范；实验室开放时间长，开放范围及覆盖面广，研究性学习与创新性实验项目开展良好，项目数量多，成效显著；实践教学队伍结构合理，能满足教学需要。</w:t>
            </w:r>
          </w:p>
        </w:tc>
        <w:tc>
          <w:tcPr>
            <w:tcW w:w="434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5</w:t>
            </w:r>
          </w:p>
        </w:tc>
        <w:tc>
          <w:tcPr>
            <w:tcW w:w="601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4</w:t>
            </w:r>
          </w:p>
        </w:tc>
        <w:tc>
          <w:tcPr>
            <w:tcW w:w="616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3</w:t>
            </w:r>
          </w:p>
        </w:tc>
        <w:tc>
          <w:tcPr>
            <w:tcW w:w="1792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</w:p>
        </w:tc>
        <w:tc>
          <w:tcPr>
            <w:tcW w:w="1322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</w:p>
        </w:tc>
      </w:tr>
      <w:tr w:rsidR="00EB4C6C" w:rsidRPr="006F2A4F" w:rsidTr="00F86F7E">
        <w:trPr>
          <w:trHeight w:val="1679"/>
          <w:jc w:val="center"/>
        </w:trPr>
        <w:tc>
          <w:tcPr>
            <w:tcW w:w="643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</w:p>
        </w:tc>
        <w:tc>
          <w:tcPr>
            <w:tcW w:w="1064" w:type="dxa"/>
            <w:vAlign w:val="center"/>
          </w:tcPr>
          <w:p w:rsidR="00EB4C6C" w:rsidRPr="006F2A4F" w:rsidRDefault="00EB4C6C" w:rsidP="00F86F7E">
            <w:pPr>
              <w:snapToGrid w:val="0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/>
                <w:b/>
                <w:color w:val="000000" w:themeColor="text1"/>
                <w:sz w:val="21"/>
              </w:rPr>
              <w:t>3</w:t>
            </w: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t>、毕业设计（论文）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（</w:t>
            </w: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3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分）</w:t>
            </w:r>
          </w:p>
        </w:tc>
        <w:tc>
          <w:tcPr>
            <w:tcW w:w="2884" w:type="dxa"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宋体" w:hint="eastAsia"/>
                <w:b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严格执行学校有关毕业设计（论文）的各项规章制度。指导教师资质及指导毕业生人数符合要求，选题结合实际，符合人才培养目标要求；管理工作程序规范，</w:t>
            </w: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 xml:space="preserve"> 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质量有标准，答辩有记录，过程管理制度健全；质量好，无抄袭现象。</w:t>
            </w:r>
          </w:p>
        </w:tc>
        <w:tc>
          <w:tcPr>
            <w:tcW w:w="434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3</w:t>
            </w:r>
          </w:p>
        </w:tc>
        <w:tc>
          <w:tcPr>
            <w:tcW w:w="601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2.4</w:t>
            </w:r>
          </w:p>
        </w:tc>
        <w:tc>
          <w:tcPr>
            <w:tcW w:w="616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1.6</w:t>
            </w:r>
          </w:p>
        </w:tc>
        <w:tc>
          <w:tcPr>
            <w:tcW w:w="1792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</w:p>
        </w:tc>
        <w:tc>
          <w:tcPr>
            <w:tcW w:w="1322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</w:p>
        </w:tc>
      </w:tr>
      <w:tr w:rsidR="00EB4C6C" w:rsidRPr="006F2A4F" w:rsidTr="00F86F7E">
        <w:trPr>
          <w:trHeight w:val="1389"/>
          <w:jc w:val="center"/>
        </w:trPr>
        <w:tc>
          <w:tcPr>
            <w:tcW w:w="643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</w:p>
        </w:tc>
        <w:tc>
          <w:tcPr>
            <w:tcW w:w="1064" w:type="dxa"/>
            <w:vAlign w:val="center"/>
          </w:tcPr>
          <w:p w:rsidR="00EB4C6C" w:rsidRPr="006F2A4F" w:rsidRDefault="00EB4C6C" w:rsidP="00F86F7E">
            <w:pPr>
              <w:snapToGrid w:val="0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/>
                <w:b/>
                <w:color w:val="000000" w:themeColor="text1"/>
                <w:sz w:val="21"/>
              </w:rPr>
              <w:t>4</w:t>
            </w: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t>、学科专业竞赛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（</w:t>
            </w: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2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分）</w:t>
            </w:r>
          </w:p>
        </w:tc>
        <w:tc>
          <w:tcPr>
            <w:tcW w:w="2884" w:type="dxa"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宋体" w:hint="eastAsia"/>
                <w:b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积极组织开展学科专业竞赛，覆盖面广，参加人数多，</w:t>
            </w:r>
            <w:r w:rsidRPr="006F2A4F">
              <w:rPr>
                <w:rFonts w:ascii="宋体" w:eastAsia="宋体" w:hAnsi="宋体" w:cs="Arial" w:hint="eastAsia"/>
                <w:color w:val="000000" w:themeColor="text1"/>
                <w:sz w:val="21"/>
              </w:rPr>
              <w:t>培养大学生自主创新意识、创新思维、实践动手能力和团队合作精神，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成绩优异。</w:t>
            </w:r>
          </w:p>
        </w:tc>
        <w:tc>
          <w:tcPr>
            <w:tcW w:w="434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2</w:t>
            </w:r>
          </w:p>
        </w:tc>
        <w:tc>
          <w:tcPr>
            <w:tcW w:w="601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1.6</w:t>
            </w:r>
          </w:p>
        </w:tc>
        <w:tc>
          <w:tcPr>
            <w:tcW w:w="616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1.2</w:t>
            </w:r>
          </w:p>
        </w:tc>
        <w:tc>
          <w:tcPr>
            <w:tcW w:w="1792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</w:p>
        </w:tc>
        <w:tc>
          <w:tcPr>
            <w:tcW w:w="1322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</w:p>
        </w:tc>
      </w:tr>
      <w:tr w:rsidR="00EB4C6C" w:rsidRPr="006F2A4F" w:rsidTr="00F86F7E">
        <w:trPr>
          <w:trHeight w:val="545"/>
          <w:tblHeader/>
          <w:jc w:val="center"/>
        </w:trPr>
        <w:tc>
          <w:tcPr>
            <w:tcW w:w="1707" w:type="dxa"/>
            <w:gridSpan w:val="2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评价指标</w:t>
            </w:r>
          </w:p>
        </w:tc>
        <w:tc>
          <w:tcPr>
            <w:tcW w:w="2884" w:type="dxa"/>
            <w:vMerge w:val="restart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指标内涵</w:t>
            </w:r>
          </w:p>
        </w:tc>
        <w:tc>
          <w:tcPr>
            <w:tcW w:w="1651" w:type="dxa"/>
            <w:gridSpan w:val="3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评分标准</w:t>
            </w:r>
          </w:p>
        </w:tc>
        <w:tc>
          <w:tcPr>
            <w:tcW w:w="1792" w:type="dxa"/>
            <w:vMerge w:val="restart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t>状态数据</w:t>
            </w:r>
          </w:p>
        </w:tc>
        <w:tc>
          <w:tcPr>
            <w:tcW w:w="1322" w:type="dxa"/>
            <w:vMerge w:val="restart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t>支撑材料</w:t>
            </w:r>
          </w:p>
        </w:tc>
      </w:tr>
      <w:tr w:rsidR="00EB4C6C" w:rsidRPr="006F2A4F" w:rsidTr="00F86F7E">
        <w:trPr>
          <w:trHeight w:val="545"/>
          <w:tblHeader/>
          <w:jc w:val="center"/>
        </w:trPr>
        <w:tc>
          <w:tcPr>
            <w:tcW w:w="643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一级</w:t>
            </w:r>
          </w:p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指标</w:t>
            </w:r>
          </w:p>
        </w:tc>
        <w:tc>
          <w:tcPr>
            <w:tcW w:w="1064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二级</w:t>
            </w:r>
          </w:p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指标</w:t>
            </w:r>
          </w:p>
        </w:tc>
        <w:tc>
          <w:tcPr>
            <w:tcW w:w="2884" w:type="dxa"/>
            <w:vMerge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</w:p>
        </w:tc>
        <w:tc>
          <w:tcPr>
            <w:tcW w:w="434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b/>
                <w:bCs/>
                <w:color w:val="000000" w:themeColor="text1"/>
                <w:kern w:val="22"/>
                <w:sz w:val="21"/>
              </w:rPr>
              <w:t>A</w:t>
            </w:r>
          </w:p>
        </w:tc>
        <w:tc>
          <w:tcPr>
            <w:tcW w:w="601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b/>
                <w:bCs/>
                <w:color w:val="000000" w:themeColor="text1"/>
                <w:kern w:val="22"/>
                <w:sz w:val="21"/>
              </w:rPr>
              <w:t>B</w:t>
            </w:r>
          </w:p>
        </w:tc>
        <w:tc>
          <w:tcPr>
            <w:tcW w:w="616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b/>
                <w:bCs/>
                <w:color w:val="000000" w:themeColor="text1"/>
                <w:kern w:val="22"/>
                <w:sz w:val="21"/>
              </w:rPr>
              <w:t>C</w:t>
            </w:r>
          </w:p>
        </w:tc>
        <w:tc>
          <w:tcPr>
            <w:tcW w:w="1792" w:type="dxa"/>
            <w:vMerge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</w:p>
        </w:tc>
        <w:tc>
          <w:tcPr>
            <w:tcW w:w="1322" w:type="dxa"/>
            <w:vMerge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</w:p>
        </w:tc>
      </w:tr>
      <w:tr w:rsidR="00EB4C6C" w:rsidRPr="006F2A4F" w:rsidTr="00F86F7E">
        <w:trPr>
          <w:trHeight w:val="4982"/>
          <w:jc w:val="center"/>
        </w:trPr>
        <w:tc>
          <w:tcPr>
            <w:tcW w:w="643" w:type="dxa"/>
            <w:vMerge w:val="restart"/>
            <w:vAlign w:val="center"/>
          </w:tcPr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宋体" w:hint="eastAsia"/>
                <w:b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1"/>
              </w:rPr>
              <w:lastRenderedPageBreak/>
              <w:t>六、</w:t>
            </w:r>
          </w:p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宋体" w:hint="eastAsia"/>
                <w:b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1"/>
              </w:rPr>
              <w:t>教学</w:t>
            </w:r>
          </w:p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宋体" w:hint="eastAsia"/>
                <w:b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1"/>
              </w:rPr>
              <w:t>质量</w:t>
            </w:r>
          </w:p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宋体" w:hint="eastAsia"/>
                <w:b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1"/>
              </w:rPr>
              <w:t>管理</w:t>
            </w:r>
          </w:p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宋体" w:hint="eastAsia"/>
                <w:b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1"/>
              </w:rPr>
              <w:t>与</w:t>
            </w:r>
          </w:p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宋体" w:hint="eastAsia"/>
                <w:b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1"/>
              </w:rPr>
              <w:t>评价</w:t>
            </w:r>
          </w:p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宋体"/>
                <w:b/>
                <w:color w:val="000000" w:themeColor="text1"/>
                <w:kern w:val="0"/>
                <w:sz w:val="21"/>
              </w:rPr>
              <w:t>15</w:t>
            </w:r>
            <w:r w:rsidRPr="006F2A4F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1"/>
              </w:rPr>
              <w:t>分</w:t>
            </w:r>
          </w:p>
        </w:tc>
        <w:tc>
          <w:tcPr>
            <w:tcW w:w="1064" w:type="dxa"/>
            <w:vAlign w:val="center"/>
          </w:tcPr>
          <w:p w:rsidR="00EB4C6C" w:rsidRPr="006F2A4F" w:rsidRDefault="00EB4C6C" w:rsidP="00F86F7E">
            <w:pPr>
              <w:snapToGrid w:val="0"/>
              <w:rPr>
                <w:rFonts w:ascii="宋体" w:eastAsia="宋体" w:hAnsi="Calibri" w:cs="宋体" w:hint="eastAsia"/>
                <w:b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b/>
                <w:color w:val="000000" w:themeColor="text1"/>
                <w:kern w:val="0"/>
                <w:sz w:val="21"/>
              </w:rPr>
              <w:t>1</w:t>
            </w:r>
            <w:r w:rsidRPr="006F2A4F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1"/>
              </w:rPr>
              <w:t>、教学过程的质量管理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（</w:t>
            </w: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6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分）</w:t>
            </w:r>
          </w:p>
        </w:tc>
        <w:tc>
          <w:tcPr>
            <w:tcW w:w="2884" w:type="dxa"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宋体" w:hint="eastAsia"/>
                <w:b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建立了科学、完善的教学工作目标管理体制，教学质量保证与监控体系科学、完善，实现了教学工作评估与日常教学管理相结合；严格执行教学各环节质量标准，执行质量标准的实施方案好；能及时反馈质量监控结果，整改措施科学、合理；重视教风与学风建设，教师认真履行教学“六要素”（备课、上课、讨论、答疑、作业、考核）要求，严格遵守教学大纲和教学日历，遵守教学纪律，能及时发现并处理教学事故。</w:t>
            </w:r>
          </w:p>
        </w:tc>
        <w:tc>
          <w:tcPr>
            <w:tcW w:w="434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6</w:t>
            </w:r>
          </w:p>
        </w:tc>
        <w:tc>
          <w:tcPr>
            <w:tcW w:w="601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4.8</w:t>
            </w:r>
          </w:p>
        </w:tc>
        <w:tc>
          <w:tcPr>
            <w:tcW w:w="616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3.6</w:t>
            </w:r>
          </w:p>
        </w:tc>
        <w:tc>
          <w:tcPr>
            <w:tcW w:w="1792" w:type="dxa"/>
            <w:vMerge w:val="restart"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教学检查通报表扬、批评人次数、教学事故人次数。</w:t>
            </w:r>
          </w:p>
        </w:tc>
        <w:tc>
          <w:tcPr>
            <w:tcW w:w="1322" w:type="dxa"/>
            <w:vMerge w:val="restart"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教学督导组、学生教学信息员名册及相关工作记录材料、学院每学期召开学生座谈会的记录、期初、期中和期末教学检查方案、教学检查登记本（表）、情况通报及总结报告、教学环节质量评估方案、教学环节质量评估总结、教学质量奖惩措施、教学事故处理相关材料，指导学生考研、考证、考公务员等有关工作材料。</w:t>
            </w:r>
          </w:p>
        </w:tc>
      </w:tr>
      <w:tr w:rsidR="00EB4C6C" w:rsidRPr="006F2A4F" w:rsidTr="00F86F7E">
        <w:trPr>
          <w:trHeight w:val="4528"/>
          <w:jc w:val="center"/>
        </w:trPr>
        <w:tc>
          <w:tcPr>
            <w:tcW w:w="643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</w:p>
        </w:tc>
        <w:tc>
          <w:tcPr>
            <w:tcW w:w="1064" w:type="dxa"/>
            <w:vAlign w:val="center"/>
          </w:tcPr>
          <w:p w:rsidR="00EB4C6C" w:rsidRPr="006F2A4F" w:rsidRDefault="00EB4C6C" w:rsidP="00F86F7E">
            <w:pPr>
              <w:snapToGrid w:val="0"/>
              <w:rPr>
                <w:rFonts w:ascii="宋体" w:eastAsia="宋体" w:hAnsi="Calibri" w:cs="宋体" w:hint="eastAsia"/>
                <w:b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b/>
                <w:color w:val="000000" w:themeColor="text1"/>
                <w:kern w:val="0"/>
                <w:sz w:val="21"/>
              </w:rPr>
              <w:t>2</w:t>
            </w:r>
            <w:r w:rsidRPr="006F2A4F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1"/>
              </w:rPr>
              <w:t>、教学督导与督查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（</w:t>
            </w: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6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分）</w:t>
            </w:r>
          </w:p>
        </w:tc>
        <w:tc>
          <w:tcPr>
            <w:tcW w:w="2884" w:type="dxa"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宋体" w:hint="eastAsia"/>
                <w:b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建立了教学督导组和学生教学信息员队伍，职责明确，保障措施得力，工作开展正常，督查结果处理及时，成效显著；能严格按照学校总体要求，制定相关实施方案，积极主动开展教学检查工作；能密切配合学校有关部门进行教学检查，认真按时完成教学检查报告；能严肃认真地组织实施对本学院教学各环节的质量进行评估，并实事求是地提交其总结和年度报告。</w:t>
            </w:r>
          </w:p>
        </w:tc>
        <w:tc>
          <w:tcPr>
            <w:tcW w:w="434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6</w:t>
            </w:r>
          </w:p>
        </w:tc>
        <w:tc>
          <w:tcPr>
            <w:tcW w:w="601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4.8</w:t>
            </w:r>
          </w:p>
        </w:tc>
        <w:tc>
          <w:tcPr>
            <w:tcW w:w="616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3.6</w:t>
            </w:r>
          </w:p>
        </w:tc>
        <w:tc>
          <w:tcPr>
            <w:tcW w:w="1792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</w:p>
        </w:tc>
        <w:tc>
          <w:tcPr>
            <w:tcW w:w="1322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</w:p>
        </w:tc>
      </w:tr>
      <w:tr w:rsidR="00EB4C6C" w:rsidRPr="006F2A4F" w:rsidTr="00F86F7E">
        <w:trPr>
          <w:trHeight w:val="2396"/>
          <w:jc w:val="center"/>
        </w:trPr>
        <w:tc>
          <w:tcPr>
            <w:tcW w:w="643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leftChars="-85" w:left="-195" w:rightChars="-137" w:right="-315"/>
              <w:jc w:val="center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</w:p>
        </w:tc>
        <w:tc>
          <w:tcPr>
            <w:tcW w:w="1064" w:type="dxa"/>
            <w:vAlign w:val="center"/>
          </w:tcPr>
          <w:p w:rsidR="00EB4C6C" w:rsidRPr="006F2A4F" w:rsidRDefault="00EB4C6C" w:rsidP="00F86F7E">
            <w:pPr>
              <w:snapToGrid w:val="0"/>
              <w:rPr>
                <w:rFonts w:ascii="宋体" w:eastAsia="宋体" w:hAnsi="Calibri" w:cs="宋体" w:hint="eastAsia"/>
                <w:b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b/>
                <w:color w:val="000000" w:themeColor="text1"/>
                <w:kern w:val="0"/>
                <w:sz w:val="21"/>
              </w:rPr>
              <w:t>3</w:t>
            </w:r>
            <w:r w:rsidRPr="006F2A4F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1"/>
              </w:rPr>
              <w:t>、教学结果的质量管理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（</w:t>
            </w:r>
            <w:r w:rsidRPr="006F2A4F">
              <w:rPr>
                <w:rFonts w:ascii="宋体" w:eastAsia="宋体" w:hAnsi="宋体" w:cs="Times New Roman"/>
                <w:color w:val="000000" w:themeColor="text1"/>
                <w:sz w:val="21"/>
              </w:rPr>
              <w:t>3</w:t>
            </w:r>
            <w:r w:rsidRPr="006F2A4F">
              <w:rPr>
                <w:rFonts w:ascii="宋体" w:eastAsia="宋体" w:hAnsi="宋体" w:cs="Times New Roman" w:hint="eastAsia"/>
                <w:color w:val="000000" w:themeColor="text1"/>
                <w:sz w:val="21"/>
              </w:rPr>
              <w:t>分）</w:t>
            </w:r>
          </w:p>
        </w:tc>
        <w:tc>
          <w:tcPr>
            <w:tcW w:w="2884" w:type="dxa"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宋体" w:hint="eastAsia"/>
                <w:b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制定了本学院有效的教学质量奖惩措施；能密切配合学校有关部门，落实教学质量奖惩制度；指导学生考研、考证、考公务员等措施得力，效果良好。</w:t>
            </w:r>
          </w:p>
        </w:tc>
        <w:tc>
          <w:tcPr>
            <w:tcW w:w="434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3</w:t>
            </w:r>
          </w:p>
        </w:tc>
        <w:tc>
          <w:tcPr>
            <w:tcW w:w="601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2.4</w:t>
            </w:r>
          </w:p>
        </w:tc>
        <w:tc>
          <w:tcPr>
            <w:tcW w:w="616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1.6</w:t>
            </w:r>
          </w:p>
        </w:tc>
        <w:tc>
          <w:tcPr>
            <w:tcW w:w="1792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</w:p>
        </w:tc>
        <w:tc>
          <w:tcPr>
            <w:tcW w:w="1322" w:type="dxa"/>
            <w:vMerge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Times New Roman" w:hint="eastAsia"/>
                <w:color w:val="000000" w:themeColor="text1"/>
                <w:kern w:val="22"/>
                <w:sz w:val="21"/>
              </w:rPr>
            </w:pPr>
          </w:p>
        </w:tc>
      </w:tr>
      <w:tr w:rsidR="00EB4C6C" w:rsidRPr="006F2A4F" w:rsidTr="00F86F7E">
        <w:trPr>
          <w:trHeight w:val="545"/>
          <w:tblHeader/>
          <w:jc w:val="center"/>
        </w:trPr>
        <w:tc>
          <w:tcPr>
            <w:tcW w:w="1707" w:type="dxa"/>
            <w:gridSpan w:val="2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评价指标</w:t>
            </w:r>
          </w:p>
        </w:tc>
        <w:tc>
          <w:tcPr>
            <w:tcW w:w="2884" w:type="dxa"/>
            <w:vMerge w:val="restart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指标内涵</w:t>
            </w:r>
          </w:p>
        </w:tc>
        <w:tc>
          <w:tcPr>
            <w:tcW w:w="1651" w:type="dxa"/>
            <w:gridSpan w:val="3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评分标准</w:t>
            </w:r>
          </w:p>
        </w:tc>
        <w:tc>
          <w:tcPr>
            <w:tcW w:w="1792" w:type="dxa"/>
            <w:vMerge w:val="restart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t>状态数据</w:t>
            </w:r>
          </w:p>
        </w:tc>
        <w:tc>
          <w:tcPr>
            <w:tcW w:w="1322" w:type="dxa"/>
            <w:vMerge w:val="restart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t>支撑材料</w:t>
            </w:r>
          </w:p>
        </w:tc>
      </w:tr>
      <w:tr w:rsidR="00EB4C6C" w:rsidRPr="006F2A4F" w:rsidTr="00F86F7E">
        <w:trPr>
          <w:trHeight w:val="545"/>
          <w:tblHeader/>
          <w:jc w:val="center"/>
        </w:trPr>
        <w:tc>
          <w:tcPr>
            <w:tcW w:w="643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一级</w:t>
            </w:r>
          </w:p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指标</w:t>
            </w:r>
          </w:p>
        </w:tc>
        <w:tc>
          <w:tcPr>
            <w:tcW w:w="1064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二级</w:t>
            </w:r>
          </w:p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2"/>
                <w:sz w:val="21"/>
              </w:rPr>
              <w:t>指标</w:t>
            </w:r>
          </w:p>
        </w:tc>
        <w:tc>
          <w:tcPr>
            <w:tcW w:w="2884" w:type="dxa"/>
            <w:vMerge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bCs/>
                <w:color w:val="000000" w:themeColor="text1"/>
                <w:kern w:val="22"/>
                <w:sz w:val="21"/>
              </w:rPr>
            </w:pPr>
          </w:p>
        </w:tc>
        <w:tc>
          <w:tcPr>
            <w:tcW w:w="434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b/>
                <w:bCs/>
                <w:color w:val="000000" w:themeColor="text1"/>
                <w:kern w:val="22"/>
                <w:sz w:val="21"/>
              </w:rPr>
              <w:t>A</w:t>
            </w:r>
          </w:p>
        </w:tc>
        <w:tc>
          <w:tcPr>
            <w:tcW w:w="601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b/>
                <w:bCs/>
                <w:color w:val="000000" w:themeColor="text1"/>
                <w:kern w:val="22"/>
                <w:sz w:val="21"/>
              </w:rPr>
              <w:t>B</w:t>
            </w:r>
          </w:p>
        </w:tc>
        <w:tc>
          <w:tcPr>
            <w:tcW w:w="616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kern w:val="22"/>
                <w:sz w:val="21"/>
              </w:rPr>
            </w:pPr>
            <w:r w:rsidRPr="006F2A4F">
              <w:rPr>
                <w:rFonts w:ascii="宋体" w:eastAsia="宋体" w:hAnsi="宋体" w:cs="Times New Roman"/>
                <w:b/>
                <w:bCs/>
                <w:color w:val="000000" w:themeColor="text1"/>
                <w:kern w:val="22"/>
                <w:sz w:val="21"/>
              </w:rPr>
              <w:t>C</w:t>
            </w:r>
          </w:p>
        </w:tc>
        <w:tc>
          <w:tcPr>
            <w:tcW w:w="1792" w:type="dxa"/>
            <w:vMerge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</w:p>
        </w:tc>
        <w:tc>
          <w:tcPr>
            <w:tcW w:w="1322" w:type="dxa"/>
            <w:vMerge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</w:p>
        </w:tc>
      </w:tr>
      <w:tr w:rsidR="00EB4C6C" w:rsidRPr="006F2A4F" w:rsidTr="00F86F7E">
        <w:trPr>
          <w:trHeight w:val="2942"/>
          <w:jc w:val="center"/>
        </w:trPr>
        <w:tc>
          <w:tcPr>
            <w:tcW w:w="1707" w:type="dxa"/>
            <w:gridSpan w:val="2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Times New Roman" w:hint="eastAsia"/>
                <w:b/>
                <w:color w:val="000000" w:themeColor="text1"/>
                <w:sz w:val="21"/>
              </w:rPr>
            </w:pP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lastRenderedPageBreak/>
              <w:t>加分</w:t>
            </w:r>
          </w:p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宋体" w:hint="eastAsia"/>
                <w:b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Times New Roman"/>
                <w:b/>
                <w:color w:val="000000" w:themeColor="text1"/>
                <w:sz w:val="21"/>
              </w:rPr>
              <w:t>5</w:t>
            </w:r>
            <w:r w:rsidRPr="006F2A4F">
              <w:rPr>
                <w:rFonts w:ascii="宋体" w:eastAsia="宋体" w:hAnsi="宋体" w:cs="Times New Roman" w:hint="eastAsia"/>
                <w:b/>
                <w:color w:val="000000" w:themeColor="text1"/>
                <w:sz w:val="21"/>
              </w:rPr>
              <w:t>分</w:t>
            </w:r>
          </w:p>
        </w:tc>
        <w:tc>
          <w:tcPr>
            <w:tcW w:w="2884" w:type="dxa"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388"/>
              <w:rPr>
                <w:rFonts w:ascii="宋体" w:eastAsia="宋体" w:hAnsi="Calibri" w:cs="宋体" w:hint="eastAsia"/>
                <w:color w:val="000000" w:themeColor="text1"/>
                <w:spacing w:val="-8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 w:val="21"/>
              </w:rPr>
              <w:t>1</w:t>
            </w:r>
            <w:r w:rsidRPr="006F2A4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 w:val="21"/>
              </w:rPr>
              <w:t>、获省级教学成果奖一等奖或国家级教学成果三等奖以上奖励（</w:t>
            </w:r>
            <w:r w:rsidRPr="006F2A4F"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 w:val="21"/>
              </w:rPr>
              <w:t>2</w:t>
            </w:r>
            <w:r w:rsidRPr="006F2A4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 w:val="21"/>
              </w:rPr>
              <w:t>分）；</w:t>
            </w:r>
          </w:p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宋体" w:hint="eastAsia"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2</w:t>
            </w:r>
            <w:r w:rsidRPr="006F2A4F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、主持国家级教育教学改革研究项目一项（</w:t>
            </w:r>
            <w:r w:rsidRPr="006F2A4F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2</w:t>
            </w:r>
            <w:r w:rsidRPr="006F2A4F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分）；</w:t>
            </w:r>
          </w:p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宋体" w:hint="eastAsia"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3</w:t>
            </w:r>
            <w:r w:rsidRPr="006F2A4F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、本科教学质量与教学改革工程（特色专业、专业综合改革试点、卓越计划、精品课程、精品资源共享课、视频公开课、实验教学示范中心、大学生校外实践教育基地、大学生创新性实验计划、人才培养模式创新实验区、教学团队、双语教学示范课程和教学名师奖）方面，获国家级项目一项或获省级项目累计数目位列全校前三位（</w:t>
            </w:r>
            <w:r w:rsidRPr="006F2A4F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2</w:t>
            </w:r>
            <w:r w:rsidRPr="006F2A4F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分）；</w:t>
            </w:r>
          </w:p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宋体" w:hint="eastAsia"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4</w:t>
            </w:r>
            <w:r w:rsidRPr="006F2A4F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、考研录取率或毕业生就业率位列全校前五位（</w:t>
            </w:r>
            <w:r w:rsidRPr="006F2A4F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1</w:t>
            </w:r>
            <w:r w:rsidRPr="006F2A4F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分）；</w:t>
            </w:r>
          </w:p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宋体" w:hint="eastAsia"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5</w:t>
            </w:r>
            <w:r w:rsidRPr="006F2A4F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、在人才培养模式创新、专业建设、课程建设、实践教学、校企（校）合作办学、教风学风建设等方面有特色项目，有推广意义，同行评价高（</w:t>
            </w:r>
            <w:r w:rsidRPr="006F2A4F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2</w:t>
            </w:r>
            <w:r w:rsidRPr="006F2A4F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分）。</w:t>
            </w:r>
          </w:p>
        </w:tc>
        <w:tc>
          <w:tcPr>
            <w:tcW w:w="434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宋体" w:hint="eastAsia"/>
                <w:color w:val="000000" w:themeColor="text1"/>
                <w:kern w:val="0"/>
                <w:sz w:val="21"/>
              </w:rPr>
            </w:pPr>
          </w:p>
        </w:tc>
        <w:tc>
          <w:tcPr>
            <w:tcW w:w="601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宋体" w:hint="eastAsia"/>
                <w:color w:val="000000" w:themeColor="text1"/>
                <w:kern w:val="0"/>
                <w:sz w:val="21"/>
              </w:rPr>
            </w:pPr>
          </w:p>
        </w:tc>
        <w:tc>
          <w:tcPr>
            <w:tcW w:w="616" w:type="dxa"/>
            <w:vAlign w:val="center"/>
          </w:tcPr>
          <w:p w:rsidR="00EB4C6C" w:rsidRPr="006F2A4F" w:rsidRDefault="00EB4C6C" w:rsidP="00F86F7E">
            <w:pPr>
              <w:snapToGrid w:val="0"/>
              <w:jc w:val="center"/>
              <w:rPr>
                <w:rFonts w:ascii="宋体" w:eastAsia="宋体" w:hAnsi="Calibri" w:cs="宋体" w:hint="eastAsia"/>
                <w:color w:val="000000" w:themeColor="text1"/>
                <w:kern w:val="0"/>
                <w:sz w:val="21"/>
              </w:rPr>
            </w:pPr>
          </w:p>
        </w:tc>
        <w:tc>
          <w:tcPr>
            <w:tcW w:w="1792" w:type="dxa"/>
            <w:vAlign w:val="center"/>
          </w:tcPr>
          <w:p w:rsidR="00EB4C6C" w:rsidRPr="006F2A4F" w:rsidRDefault="00EB4C6C" w:rsidP="00F86F7E">
            <w:pPr>
              <w:snapToGrid w:val="0"/>
              <w:ind w:firstLineChars="200" w:firstLine="420"/>
              <w:rPr>
                <w:rFonts w:ascii="宋体" w:eastAsia="宋体" w:hAnsi="Calibri" w:cs="宋体" w:hint="eastAsia"/>
                <w:color w:val="000000" w:themeColor="text1"/>
                <w:kern w:val="0"/>
                <w:sz w:val="21"/>
              </w:rPr>
            </w:pPr>
          </w:p>
        </w:tc>
        <w:tc>
          <w:tcPr>
            <w:tcW w:w="1322" w:type="dxa"/>
            <w:vAlign w:val="center"/>
          </w:tcPr>
          <w:p w:rsidR="00EB4C6C" w:rsidRPr="006F2A4F" w:rsidRDefault="00EB4C6C" w:rsidP="00F86F7E">
            <w:pPr>
              <w:snapToGrid w:val="0"/>
              <w:rPr>
                <w:rFonts w:ascii="宋体" w:eastAsia="宋体" w:hAnsi="Calibri" w:cs="宋体" w:hint="eastAsia"/>
                <w:color w:val="000000" w:themeColor="text1"/>
                <w:kern w:val="0"/>
                <w:sz w:val="21"/>
              </w:rPr>
            </w:pPr>
            <w:r w:rsidRPr="006F2A4F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专项特色材料。</w:t>
            </w:r>
          </w:p>
        </w:tc>
      </w:tr>
    </w:tbl>
    <w:p w:rsidR="00EB4C6C" w:rsidRPr="006F2A4F" w:rsidRDefault="00EB4C6C" w:rsidP="00EB4C6C">
      <w:pPr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说明：</w:t>
      </w:r>
      <w:r w:rsidRPr="006F2A4F">
        <w:rPr>
          <w:color w:val="000000" w:themeColor="text1"/>
        </w:rPr>
        <w:t>1.</w:t>
      </w:r>
      <w:r w:rsidRPr="006F2A4F">
        <w:rPr>
          <w:rFonts w:hint="eastAsia"/>
          <w:color w:val="000000" w:themeColor="text1"/>
        </w:rPr>
        <w:t>指标体系总分</w:t>
      </w:r>
      <w:r w:rsidRPr="006F2A4F">
        <w:rPr>
          <w:color w:val="000000" w:themeColor="text1"/>
        </w:rPr>
        <w:t>100</w:t>
      </w:r>
      <w:r w:rsidRPr="006F2A4F">
        <w:rPr>
          <w:rFonts w:hint="eastAsia"/>
          <w:color w:val="000000" w:themeColor="text1"/>
        </w:rPr>
        <w:t>分</w:t>
      </w:r>
      <w:r w:rsidRPr="006F2A4F">
        <w:rPr>
          <w:color w:val="000000" w:themeColor="text1"/>
        </w:rPr>
        <w:t>(</w:t>
      </w:r>
      <w:r w:rsidRPr="006F2A4F">
        <w:rPr>
          <w:rFonts w:hint="eastAsia"/>
          <w:color w:val="000000" w:themeColor="text1"/>
        </w:rPr>
        <w:t>不含加分项</w:t>
      </w:r>
      <w:r w:rsidRPr="006F2A4F">
        <w:rPr>
          <w:color w:val="000000" w:themeColor="text1"/>
        </w:rPr>
        <w:t>)</w:t>
      </w:r>
      <w:r w:rsidRPr="006F2A4F">
        <w:rPr>
          <w:rFonts w:hint="eastAsia"/>
          <w:color w:val="000000" w:themeColor="text1"/>
        </w:rPr>
        <w:t>，加分项</w:t>
      </w:r>
      <w:r w:rsidRPr="006F2A4F">
        <w:rPr>
          <w:color w:val="000000" w:themeColor="text1"/>
        </w:rPr>
        <w:t>5</w:t>
      </w:r>
      <w:r w:rsidRPr="006F2A4F">
        <w:rPr>
          <w:rFonts w:hint="eastAsia"/>
          <w:color w:val="000000" w:themeColor="text1"/>
        </w:rPr>
        <w:t>分</w:t>
      </w:r>
      <w:r w:rsidRPr="006F2A4F">
        <w:rPr>
          <w:color w:val="000000" w:themeColor="text1"/>
        </w:rPr>
        <w:t>(</w:t>
      </w:r>
      <w:r w:rsidRPr="006F2A4F">
        <w:rPr>
          <w:rFonts w:hint="eastAsia"/>
          <w:color w:val="000000" w:themeColor="text1"/>
        </w:rPr>
        <w:t>即加分项目累计总得分不超过</w:t>
      </w:r>
      <w:r w:rsidRPr="006F2A4F">
        <w:rPr>
          <w:color w:val="000000" w:themeColor="text1"/>
        </w:rPr>
        <w:t>5</w:t>
      </w:r>
      <w:r w:rsidRPr="006F2A4F">
        <w:rPr>
          <w:rFonts w:hint="eastAsia"/>
          <w:color w:val="000000" w:themeColor="text1"/>
        </w:rPr>
        <w:t>分</w:t>
      </w:r>
      <w:r w:rsidRPr="006F2A4F">
        <w:rPr>
          <w:color w:val="000000" w:themeColor="text1"/>
        </w:rPr>
        <w:t>)</w:t>
      </w:r>
      <w:r w:rsidRPr="006F2A4F">
        <w:rPr>
          <w:rFonts w:hint="eastAsia"/>
          <w:color w:val="000000" w:themeColor="text1"/>
        </w:rPr>
        <w:t>。</w:t>
      </w:r>
    </w:p>
    <w:p w:rsidR="00EB4C6C" w:rsidRPr="006F2A4F" w:rsidRDefault="00EB4C6C" w:rsidP="00EB4C6C">
      <w:pPr>
        <w:ind w:left="920" w:hangingChars="400" w:hanging="92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</w:t>
      </w:r>
      <w:r w:rsidRPr="006F2A4F">
        <w:rPr>
          <w:rFonts w:hint="eastAsia"/>
          <w:color w:val="000000" w:themeColor="text1"/>
        </w:rPr>
        <w:t xml:space="preserve">  </w:t>
      </w:r>
      <w:r w:rsidRPr="006F2A4F">
        <w:rPr>
          <w:color w:val="000000" w:themeColor="text1"/>
        </w:rPr>
        <w:t>2.</w:t>
      </w:r>
      <w:r w:rsidRPr="006F2A4F">
        <w:rPr>
          <w:rFonts w:hint="eastAsia"/>
          <w:color w:val="000000" w:themeColor="text1"/>
        </w:rPr>
        <w:t>没有实验要求的教学院，其“实践教学管理”中“实验教学”的考察要点不计分，最后得分＝实际得分</w:t>
      </w:r>
      <w:r w:rsidRPr="006F2A4F">
        <w:rPr>
          <w:color w:val="000000" w:themeColor="text1"/>
        </w:rPr>
        <w:t>/</w:t>
      </w:r>
      <w:r w:rsidRPr="006F2A4F">
        <w:rPr>
          <w:rFonts w:hint="eastAsia"/>
          <w:color w:val="000000" w:themeColor="text1"/>
        </w:rPr>
        <w:t>实际总分</w:t>
      </w:r>
      <w:r w:rsidRPr="006F2A4F">
        <w:rPr>
          <w:color w:val="000000" w:themeColor="text1"/>
        </w:rPr>
        <w:t>*100</w:t>
      </w:r>
      <w:r w:rsidRPr="006F2A4F">
        <w:rPr>
          <w:rFonts w:hint="eastAsia"/>
          <w:color w:val="000000" w:themeColor="text1"/>
        </w:rPr>
        <w:t>。</w:t>
      </w:r>
    </w:p>
    <w:p w:rsidR="00EB4C6C" w:rsidRPr="006F2A4F" w:rsidRDefault="00EB4C6C" w:rsidP="00EB4C6C">
      <w:pPr>
        <w:widowControl/>
        <w:jc w:val="left"/>
        <w:rPr>
          <w:color w:val="000000" w:themeColor="text1"/>
        </w:rPr>
      </w:pPr>
      <w:r w:rsidRPr="006F2A4F">
        <w:rPr>
          <w:color w:val="000000" w:themeColor="text1"/>
        </w:rPr>
        <w:br w:type="page"/>
      </w:r>
    </w:p>
    <w:p w:rsidR="005C4D8C" w:rsidRDefault="005C4D8C">
      <w:pPr>
        <w:rPr>
          <w:rFonts w:hint="eastAsia"/>
        </w:rPr>
      </w:pPr>
    </w:p>
    <w:sectPr w:rsidR="005C4D8C" w:rsidSect="005C4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4C6C"/>
    <w:rsid w:val="005C4D8C"/>
    <w:rsid w:val="00EB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6C"/>
    <w:pPr>
      <w:widowControl w:val="0"/>
      <w:jc w:val="both"/>
    </w:pPr>
    <w:rPr>
      <w:rFonts w:ascii="Times New Roman" w:hAnsi="Times New Roman"/>
      <w:sz w:val="23"/>
    </w:rPr>
  </w:style>
  <w:style w:type="paragraph" w:styleId="2">
    <w:name w:val="heading 2"/>
    <w:basedOn w:val="a"/>
    <w:next w:val="a"/>
    <w:link w:val="2Char"/>
    <w:uiPriority w:val="99"/>
    <w:unhideWhenUsed/>
    <w:qFormat/>
    <w:rsid w:val="00EB4C6C"/>
    <w:pPr>
      <w:keepNext/>
      <w:keepLines/>
      <w:spacing w:beforeLines="130" w:afterLines="130"/>
      <w:jc w:val="center"/>
      <w:outlineLvl w:val="1"/>
    </w:pPr>
    <w:rPr>
      <w:rFonts w:asciiTheme="majorHAnsi" w:eastAsia="方正小标宋_GBK" w:hAnsiTheme="majorHAnsi" w:cstheme="majorBidi"/>
      <w:bCs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EB4C6C"/>
    <w:rPr>
      <w:rFonts w:asciiTheme="majorHAnsi" w:eastAsia="方正小标宋_GBK" w:hAnsiTheme="majorHAnsi" w:cstheme="majorBidi"/>
      <w:bCs/>
      <w:sz w:val="44"/>
      <w:szCs w:val="32"/>
    </w:rPr>
  </w:style>
  <w:style w:type="paragraph" w:customStyle="1" w:styleId="a3">
    <w:name w:val="黑体不居中"/>
    <w:basedOn w:val="a"/>
    <w:link w:val="Char"/>
    <w:qFormat/>
    <w:rsid w:val="00EB4C6C"/>
    <w:pPr>
      <w:keepNext/>
    </w:pPr>
    <w:rPr>
      <w:rFonts w:ascii="黑体" w:eastAsia="黑体"/>
    </w:rPr>
  </w:style>
  <w:style w:type="character" w:customStyle="1" w:styleId="Char">
    <w:name w:val="黑体不居中 Char"/>
    <w:basedOn w:val="a0"/>
    <w:link w:val="a3"/>
    <w:qFormat/>
    <w:rsid w:val="00EB4C6C"/>
    <w:rPr>
      <w:rFonts w:ascii="黑体" w:eastAsia="黑体" w:hAnsi="Times New Roman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1778</Words>
  <Characters>10138</Characters>
  <Application>Microsoft Office Word</Application>
  <DocSecurity>0</DocSecurity>
  <Lines>84</Lines>
  <Paragraphs>23</Paragraphs>
  <ScaleCrop>false</ScaleCrop>
  <Company/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2018-11-29T02:18:00Z</dcterms:created>
  <dcterms:modified xsi:type="dcterms:W3CDTF">2018-11-29T02:19:00Z</dcterms:modified>
</cp:coreProperties>
</file>